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Default Extension="svg" ContentType="image/svg+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5A6" w:rsidRDefault="001115A6" w:rsidP="001115A6">
      <w:r>
        <w:rPr>
          <w:noProof/>
          <w:lang w:eastAsia="es-DO"/>
        </w:rPr>
        <w:drawing>
          <wp:anchor distT="0" distB="0" distL="114300" distR="114300" simplePos="0" relativeHeight="251656704" behindDoc="0" locked="0" layoutInCell="1" allowOverlap="1">
            <wp:simplePos x="0" y="0"/>
            <wp:positionH relativeFrom="margin">
              <wp:align>center</wp:align>
            </wp:positionH>
            <wp:positionV relativeFrom="paragraph">
              <wp:posOffset>613</wp:posOffset>
            </wp:positionV>
            <wp:extent cx="3063240" cy="1811020"/>
            <wp:effectExtent l="0" t="0" r="3810" b="0"/>
            <wp:wrapSquare wrapText="bothSides"/>
            <wp:docPr id="27" name="Picture 27"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7" name="Picture 27" descr="Logo, company name&#10;&#10;Description automatically generated"/>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9900" b="8109"/>
                    <a:stretch/>
                  </pic:blipFill>
                  <pic:spPr bwMode="auto">
                    <a:xfrm>
                      <a:off x="0" y="0"/>
                      <a:ext cx="3063240" cy="181102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1115A6" w:rsidRDefault="001115A6" w:rsidP="001115A6">
      <w:pPr>
        <w:jc w:val="center"/>
      </w:pPr>
    </w:p>
    <w:p w:rsidR="001115A6" w:rsidRDefault="001115A6" w:rsidP="001115A6">
      <w:pPr>
        <w:tabs>
          <w:tab w:val="center" w:pos="6480"/>
        </w:tabs>
      </w:pPr>
      <w:r>
        <w:tab/>
      </w:r>
    </w:p>
    <w:p w:rsidR="00865A80" w:rsidRPr="00865A80" w:rsidRDefault="00865A80" w:rsidP="00865A80"/>
    <w:p w:rsidR="00865A80" w:rsidRDefault="00865A80" w:rsidP="00865A80"/>
    <w:p w:rsidR="00865A80" w:rsidRPr="00865A80" w:rsidRDefault="00865A80" w:rsidP="00865A80">
      <w:pPr>
        <w:tabs>
          <w:tab w:val="left" w:pos="5586"/>
        </w:tabs>
        <w:spacing w:after="0" w:line="240" w:lineRule="auto"/>
        <w:jc w:val="center"/>
        <w:rPr>
          <w:color w:val="0070C0"/>
          <w:sz w:val="36"/>
          <w:szCs w:val="28"/>
        </w:rPr>
      </w:pPr>
      <w:r w:rsidRPr="00865A80">
        <w:rPr>
          <w:color w:val="0070C0"/>
          <w:sz w:val="36"/>
          <w:szCs w:val="28"/>
        </w:rPr>
        <w:t>Plan Estratégico Institucional 2021</w:t>
      </w:r>
      <w:r w:rsidR="00E47275">
        <w:rPr>
          <w:color w:val="0070C0"/>
          <w:sz w:val="36"/>
          <w:szCs w:val="28"/>
        </w:rPr>
        <w:t>-</w:t>
      </w:r>
      <w:r w:rsidRPr="00865A80">
        <w:rPr>
          <w:color w:val="0070C0"/>
          <w:sz w:val="36"/>
          <w:szCs w:val="28"/>
        </w:rPr>
        <w:t>2024</w:t>
      </w:r>
    </w:p>
    <w:p w:rsidR="00865A80" w:rsidRPr="00865A80" w:rsidRDefault="00865A80" w:rsidP="00865A80">
      <w:pPr>
        <w:tabs>
          <w:tab w:val="left" w:pos="5586"/>
        </w:tabs>
        <w:spacing w:after="0" w:line="240" w:lineRule="auto"/>
        <w:jc w:val="center"/>
        <w:rPr>
          <w:color w:val="0070C0"/>
          <w:sz w:val="36"/>
          <w:szCs w:val="28"/>
        </w:rPr>
      </w:pPr>
      <w:r w:rsidRPr="00865A80">
        <w:rPr>
          <w:noProof/>
          <w:color w:val="0070C0"/>
          <w:sz w:val="36"/>
          <w:szCs w:val="28"/>
          <w:lang w:eastAsia="es-DO"/>
        </w:rPr>
        <w:drawing>
          <wp:anchor distT="0" distB="0" distL="114300" distR="114300" simplePos="0" relativeHeight="251654656" behindDoc="0" locked="0" layoutInCell="1" allowOverlap="1">
            <wp:simplePos x="0" y="0"/>
            <wp:positionH relativeFrom="margin">
              <wp:align>right</wp:align>
            </wp:positionH>
            <wp:positionV relativeFrom="paragraph">
              <wp:posOffset>446909</wp:posOffset>
            </wp:positionV>
            <wp:extent cx="8229600" cy="2672080"/>
            <wp:effectExtent l="0" t="0" r="0" b="0"/>
            <wp:wrapSquare wrapText="bothSides"/>
            <wp:docPr id="2" name="Picture 2" descr="Plan estratégico: cómo usarlo para cumplir tus metas | Vision y Lideraz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n estratégico: cómo usarlo para cumplir tus metas | Vision y Liderazgo"/>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229600" cy="2672080"/>
                    </a:xfrm>
                    <a:prstGeom prst="rect">
                      <a:avLst/>
                    </a:prstGeom>
                    <a:noFill/>
                    <a:ln>
                      <a:noFill/>
                    </a:ln>
                  </pic:spPr>
                </pic:pic>
              </a:graphicData>
            </a:graphic>
          </wp:anchor>
        </w:drawing>
      </w:r>
      <w:r w:rsidRPr="00865A80">
        <w:rPr>
          <w:color w:val="0070C0"/>
          <w:sz w:val="36"/>
          <w:szCs w:val="28"/>
        </w:rPr>
        <w:t>-PEI 2024-</w:t>
      </w:r>
    </w:p>
    <w:p w:rsidR="006F3287" w:rsidRDefault="006F3287" w:rsidP="00102C17">
      <w:pPr>
        <w:tabs>
          <w:tab w:val="left" w:pos="5586"/>
        </w:tabs>
        <w:spacing w:after="0" w:line="240" w:lineRule="auto"/>
        <w:rPr>
          <w:sz w:val="36"/>
          <w:szCs w:val="28"/>
        </w:rPr>
        <w:sectPr w:rsidR="006F3287" w:rsidSect="00102C17">
          <w:footerReference w:type="default" r:id="rId10"/>
          <w:pgSz w:w="15840" w:h="12240" w:orient="landscape"/>
          <w:pgMar w:top="426" w:right="1440" w:bottom="1440" w:left="1440" w:header="709" w:footer="709" w:gutter="0"/>
          <w:cols w:space="708"/>
          <w:titlePg/>
          <w:docGrid w:linePitch="382"/>
        </w:sectPr>
      </w:pPr>
    </w:p>
    <w:p w:rsidR="00102C17" w:rsidRPr="00102C17" w:rsidRDefault="00102C17" w:rsidP="00102C17">
      <w:pPr>
        <w:rPr>
          <w:sz w:val="36"/>
          <w:szCs w:val="28"/>
        </w:rPr>
        <w:sectPr w:rsidR="00102C17" w:rsidRPr="00102C17" w:rsidSect="006F3287">
          <w:type w:val="continuous"/>
          <w:pgSz w:w="15840" w:h="12240" w:orient="landscape"/>
          <w:pgMar w:top="426" w:right="1440" w:bottom="1440" w:left="1440" w:header="709" w:footer="709" w:gutter="0"/>
          <w:cols w:space="708"/>
          <w:docGrid w:linePitch="360"/>
        </w:sectPr>
      </w:pPr>
    </w:p>
    <w:p w:rsidR="00865A80" w:rsidRDefault="00865A80" w:rsidP="00865A80">
      <w:pPr>
        <w:tabs>
          <w:tab w:val="left" w:pos="5586"/>
        </w:tabs>
        <w:spacing w:after="0" w:line="240" w:lineRule="auto"/>
        <w:jc w:val="center"/>
        <w:rPr>
          <w:sz w:val="36"/>
          <w:szCs w:val="28"/>
        </w:rPr>
      </w:pPr>
      <w:r>
        <w:rPr>
          <w:sz w:val="36"/>
          <w:szCs w:val="28"/>
        </w:rPr>
        <w:t>Santo Domingo, D.N.</w:t>
      </w:r>
    </w:p>
    <w:p w:rsidR="00102C17" w:rsidRDefault="00865A80" w:rsidP="00865A80">
      <w:pPr>
        <w:tabs>
          <w:tab w:val="left" w:pos="5586"/>
        </w:tabs>
        <w:spacing w:after="0" w:line="240" w:lineRule="auto"/>
        <w:jc w:val="center"/>
        <w:rPr>
          <w:sz w:val="36"/>
          <w:szCs w:val="28"/>
        </w:rPr>
      </w:pPr>
      <w:r>
        <w:rPr>
          <w:sz w:val="36"/>
          <w:szCs w:val="28"/>
        </w:rPr>
        <w:t>Junio de 2021</w:t>
      </w:r>
      <w:r w:rsidR="00102C17">
        <w:rPr>
          <w:sz w:val="36"/>
          <w:szCs w:val="28"/>
        </w:rPr>
        <w:br w:type="page"/>
      </w:r>
    </w:p>
    <w:p w:rsidR="00865A80" w:rsidRPr="00865A80" w:rsidRDefault="00865A80" w:rsidP="00102C17">
      <w:pPr>
        <w:tabs>
          <w:tab w:val="left" w:pos="5586"/>
        </w:tabs>
        <w:spacing w:after="0" w:line="240" w:lineRule="auto"/>
        <w:rPr>
          <w:sz w:val="36"/>
          <w:szCs w:val="28"/>
        </w:rPr>
        <w:sectPr w:rsidR="00865A80" w:rsidRPr="00865A80" w:rsidSect="006F3287">
          <w:type w:val="continuous"/>
          <w:pgSz w:w="15840" w:h="12240" w:orient="landscape"/>
          <w:pgMar w:top="426" w:right="1440" w:bottom="1440" w:left="1440" w:header="709" w:footer="709" w:gutter="0"/>
          <w:cols w:space="708"/>
          <w:docGrid w:linePitch="360"/>
        </w:sectPr>
      </w:pPr>
    </w:p>
    <w:p w:rsidR="00865A80" w:rsidRDefault="00865A80" w:rsidP="00102C17">
      <w:pPr>
        <w:rPr>
          <w:rFonts w:asciiTheme="minorHAnsi" w:hAnsiTheme="minorHAnsi"/>
          <w:b w:val="0"/>
          <w:sz w:val="22"/>
        </w:rPr>
      </w:pPr>
    </w:p>
    <w:p w:rsidR="00865A80" w:rsidRDefault="00865A80" w:rsidP="00865A80">
      <w:r>
        <w:rPr>
          <w:noProof/>
          <w:lang w:eastAsia="es-DO"/>
        </w:rPr>
        <w:drawing>
          <wp:anchor distT="0" distB="0" distL="114300" distR="114300" simplePos="0" relativeHeight="251655680" behindDoc="0" locked="0" layoutInCell="1" allowOverlap="1">
            <wp:simplePos x="0" y="0"/>
            <wp:positionH relativeFrom="margin">
              <wp:align>center</wp:align>
            </wp:positionH>
            <wp:positionV relativeFrom="paragraph">
              <wp:posOffset>13138</wp:posOffset>
            </wp:positionV>
            <wp:extent cx="3063240" cy="1811020"/>
            <wp:effectExtent l="0" t="0" r="381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9900" b="8109"/>
                    <a:stretch>
                      <a:fillRect/>
                    </a:stretch>
                  </pic:blipFill>
                  <pic:spPr bwMode="auto">
                    <a:xfrm>
                      <a:off x="0" y="0"/>
                      <a:ext cx="3063240" cy="1811020"/>
                    </a:xfrm>
                    <a:prstGeom prst="rect">
                      <a:avLst/>
                    </a:prstGeom>
                    <a:noFill/>
                  </pic:spPr>
                </pic:pic>
              </a:graphicData>
            </a:graphic>
          </wp:anchor>
        </w:drawing>
      </w:r>
    </w:p>
    <w:p w:rsidR="00865A80" w:rsidRDefault="00865A80" w:rsidP="00865A80"/>
    <w:p w:rsidR="00865A80" w:rsidRDefault="00865A80" w:rsidP="00865A80"/>
    <w:p w:rsidR="00865A80" w:rsidRDefault="00865A80" w:rsidP="00865A80"/>
    <w:p w:rsidR="00865A80" w:rsidRDefault="00865A80" w:rsidP="00865A80"/>
    <w:p w:rsidR="00865A80" w:rsidRDefault="00865A80" w:rsidP="00865A80">
      <w:pPr>
        <w:spacing w:after="0" w:line="240" w:lineRule="auto"/>
        <w:jc w:val="center"/>
      </w:pPr>
    </w:p>
    <w:p w:rsidR="00865A80" w:rsidRDefault="00865A80" w:rsidP="00865A80">
      <w:pPr>
        <w:spacing w:after="0" w:line="240" w:lineRule="auto"/>
        <w:jc w:val="center"/>
        <w:rPr>
          <w:b w:val="0"/>
          <w:bCs/>
          <w:color w:val="0070C0"/>
          <w:sz w:val="36"/>
          <w:szCs w:val="36"/>
        </w:rPr>
      </w:pPr>
    </w:p>
    <w:p w:rsidR="00865A80" w:rsidRPr="00263FD8" w:rsidRDefault="00865A80" w:rsidP="00263FD8">
      <w:pPr>
        <w:spacing w:after="0" w:line="240" w:lineRule="auto"/>
        <w:jc w:val="center"/>
        <w:rPr>
          <w:color w:val="0070C0"/>
          <w:sz w:val="40"/>
          <w:szCs w:val="40"/>
        </w:rPr>
      </w:pPr>
      <w:r w:rsidRPr="00263FD8">
        <w:rPr>
          <w:color w:val="0070C0"/>
          <w:sz w:val="40"/>
          <w:szCs w:val="40"/>
        </w:rPr>
        <w:t xml:space="preserve">DIRECCIÓN EJECUTIVA </w:t>
      </w:r>
    </w:p>
    <w:p w:rsidR="00263FD8" w:rsidRPr="00263FD8" w:rsidRDefault="00263FD8" w:rsidP="00263FD8">
      <w:pPr>
        <w:spacing w:after="0" w:line="240" w:lineRule="auto"/>
        <w:jc w:val="center"/>
        <w:rPr>
          <w:color w:val="0070C0"/>
        </w:rPr>
      </w:pPr>
    </w:p>
    <w:p w:rsidR="00263FD8" w:rsidRPr="00263FD8" w:rsidRDefault="00263FD8" w:rsidP="00263FD8">
      <w:pPr>
        <w:jc w:val="center"/>
        <w:rPr>
          <w:color w:val="0070C0"/>
          <w:sz w:val="36"/>
          <w:szCs w:val="28"/>
        </w:rPr>
      </w:pPr>
      <w:r w:rsidRPr="00263FD8">
        <w:rPr>
          <w:color w:val="0070C0"/>
          <w:sz w:val="36"/>
          <w:szCs w:val="28"/>
        </w:rPr>
        <w:t>Elaborado Por: División de Planificación y Desarrollo</w:t>
      </w:r>
    </w:p>
    <w:p w:rsidR="00263FD8" w:rsidRDefault="00263FD8" w:rsidP="00865A80">
      <w:pPr>
        <w:spacing w:after="0"/>
        <w:contextualSpacing/>
        <w:rPr>
          <w:rFonts w:ascii="Arial" w:hAnsi="Arial" w:cs="Arial"/>
          <w:sz w:val="18"/>
          <w:szCs w:val="18"/>
        </w:rPr>
      </w:pPr>
    </w:p>
    <w:p w:rsidR="00263FD8" w:rsidRDefault="00263FD8" w:rsidP="00865A80">
      <w:pPr>
        <w:spacing w:after="0"/>
        <w:contextualSpacing/>
        <w:rPr>
          <w:rFonts w:ascii="Arial" w:hAnsi="Arial" w:cs="Arial"/>
          <w:sz w:val="18"/>
          <w:szCs w:val="18"/>
        </w:rPr>
      </w:pPr>
    </w:p>
    <w:p w:rsidR="00263FD8" w:rsidRDefault="00263FD8" w:rsidP="00865A80">
      <w:pPr>
        <w:spacing w:after="0"/>
        <w:contextualSpacing/>
        <w:rPr>
          <w:rFonts w:ascii="Arial" w:hAnsi="Arial" w:cs="Arial"/>
          <w:sz w:val="18"/>
          <w:szCs w:val="18"/>
        </w:rPr>
      </w:pPr>
    </w:p>
    <w:p w:rsidR="00263FD8" w:rsidRDefault="00263FD8" w:rsidP="00865A80">
      <w:pPr>
        <w:spacing w:after="0"/>
        <w:contextualSpacing/>
        <w:rPr>
          <w:rFonts w:ascii="Arial" w:hAnsi="Arial" w:cs="Arial"/>
          <w:sz w:val="18"/>
          <w:szCs w:val="18"/>
        </w:rPr>
      </w:pPr>
    </w:p>
    <w:p w:rsidR="00865A80" w:rsidRPr="00263FD8" w:rsidRDefault="00865A80" w:rsidP="00865A80">
      <w:pPr>
        <w:spacing w:after="0"/>
        <w:contextualSpacing/>
        <w:rPr>
          <w:rFonts w:cs="Arial"/>
          <w:b w:val="0"/>
          <w:sz w:val="20"/>
          <w:szCs w:val="20"/>
        </w:rPr>
      </w:pPr>
      <w:r w:rsidRPr="00263FD8">
        <w:rPr>
          <w:rFonts w:cs="Arial"/>
          <w:sz w:val="20"/>
          <w:szCs w:val="20"/>
        </w:rPr>
        <w:t>Plan Estratégico Institucional 2021-2024</w:t>
      </w:r>
      <w:r w:rsidRPr="00263FD8">
        <w:rPr>
          <w:rFonts w:cs="Arial"/>
          <w:sz w:val="20"/>
          <w:szCs w:val="20"/>
        </w:rPr>
        <w:tab/>
      </w:r>
      <w:r w:rsidRPr="00263FD8">
        <w:rPr>
          <w:rFonts w:cs="Arial"/>
          <w:sz w:val="20"/>
          <w:szCs w:val="20"/>
        </w:rPr>
        <w:tab/>
      </w:r>
      <w:r w:rsidRPr="00263FD8">
        <w:rPr>
          <w:rFonts w:cs="Arial"/>
          <w:sz w:val="20"/>
          <w:szCs w:val="20"/>
        </w:rPr>
        <w:tab/>
      </w:r>
      <w:r w:rsidRPr="00263FD8">
        <w:rPr>
          <w:rFonts w:cs="Arial"/>
          <w:sz w:val="20"/>
          <w:szCs w:val="20"/>
        </w:rPr>
        <w:tab/>
      </w:r>
      <w:r w:rsidRPr="00263FD8">
        <w:rPr>
          <w:rFonts w:cs="Arial"/>
          <w:sz w:val="20"/>
          <w:szCs w:val="20"/>
        </w:rPr>
        <w:tab/>
      </w:r>
      <w:bookmarkStart w:id="0" w:name="_Hlk70008397"/>
      <w:r w:rsidRPr="00263FD8">
        <w:rPr>
          <w:rFonts w:cs="Arial"/>
          <w:sz w:val="20"/>
          <w:szCs w:val="20"/>
        </w:rPr>
        <w:t>INZ-PEI 2024-01-2021</w:t>
      </w:r>
    </w:p>
    <w:bookmarkEnd w:id="0"/>
    <w:p w:rsidR="00865A80" w:rsidRPr="00263FD8" w:rsidRDefault="00865A80" w:rsidP="00865A80">
      <w:pPr>
        <w:spacing w:after="0"/>
        <w:contextualSpacing/>
        <w:rPr>
          <w:rFonts w:cs="Arial"/>
          <w:sz w:val="20"/>
          <w:szCs w:val="20"/>
        </w:rPr>
      </w:pPr>
      <w:r w:rsidRPr="00263FD8">
        <w:rPr>
          <w:rFonts w:cs="Arial"/>
          <w:sz w:val="20"/>
          <w:szCs w:val="20"/>
        </w:rPr>
        <w:t>Instituto Azucarero Dominicano (INAZUCAR)</w:t>
      </w:r>
    </w:p>
    <w:p w:rsidR="00865A80" w:rsidRPr="00263FD8" w:rsidRDefault="00865A80" w:rsidP="00865A80">
      <w:pPr>
        <w:spacing w:after="0" w:line="360" w:lineRule="auto"/>
        <w:contextualSpacing/>
        <w:rPr>
          <w:rFonts w:cs="Arial"/>
          <w:sz w:val="24"/>
          <w:szCs w:val="24"/>
        </w:rPr>
      </w:pPr>
    </w:p>
    <w:p w:rsidR="00865A80" w:rsidRPr="00263FD8" w:rsidRDefault="00865A80" w:rsidP="00865A80">
      <w:pPr>
        <w:spacing w:after="0" w:line="360" w:lineRule="auto"/>
        <w:rPr>
          <w:rFonts w:cs="Arial"/>
          <w:b w:val="0"/>
          <w:bCs/>
          <w:color w:val="0070C0"/>
          <w:sz w:val="40"/>
          <w:szCs w:val="40"/>
        </w:rPr>
      </w:pPr>
    </w:p>
    <w:p w:rsidR="00865A80" w:rsidRPr="00263FD8" w:rsidRDefault="00865A80" w:rsidP="00865A80">
      <w:pPr>
        <w:spacing w:after="0" w:line="360" w:lineRule="auto"/>
        <w:rPr>
          <w:rFonts w:cs="Arial"/>
          <w:b w:val="0"/>
          <w:bCs/>
          <w:color w:val="0070C0"/>
          <w:sz w:val="40"/>
          <w:szCs w:val="40"/>
        </w:rPr>
      </w:pPr>
    </w:p>
    <w:p w:rsidR="00865A80" w:rsidRPr="00263FD8" w:rsidRDefault="00865A80" w:rsidP="00865A80">
      <w:pPr>
        <w:spacing w:after="0" w:line="240" w:lineRule="auto"/>
        <w:rPr>
          <w:color w:val="0070C0"/>
          <w:sz w:val="36"/>
          <w:szCs w:val="36"/>
        </w:rPr>
      </w:pPr>
      <w:r w:rsidRPr="00263FD8">
        <w:rPr>
          <w:color w:val="0070C0"/>
          <w:sz w:val="36"/>
          <w:szCs w:val="36"/>
        </w:rPr>
        <w:t>Plan Estratégico Institucional 2021-2024</w:t>
      </w:r>
    </w:p>
    <w:p w:rsidR="00865A80" w:rsidRPr="00263FD8" w:rsidRDefault="00865A80" w:rsidP="00865A80">
      <w:pPr>
        <w:spacing w:after="0" w:line="240" w:lineRule="auto"/>
        <w:rPr>
          <w:color w:val="0070C0"/>
          <w:sz w:val="36"/>
          <w:szCs w:val="36"/>
        </w:rPr>
      </w:pPr>
      <w:r w:rsidRPr="00263FD8">
        <w:rPr>
          <w:color w:val="0070C0"/>
          <w:sz w:val="36"/>
          <w:szCs w:val="36"/>
        </w:rPr>
        <w:t>-PEI 2024-</w:t>
      </w:r>
    </w:p>
    <w:p w:rsidR="00865A80" w:rsidRPr="00E47275" w:rsidRDefault="00865A80" w:rsidP="00865A80">
      <w:pPr>
        <w:spacing w:after="0" w:line="360" w:lineRule="auto"/>
        <w:contextualSpacing/>
        <w:rPr>
          <w:rFonts w:cs="Arial"/>
          <w:sz w:val="24"/>
          <w:szCs w:val="24"/>
        </w:rPr>
      </w:pPr>
    </w:p>
    <w:p w:rsidR="00865A80" w:rsidRPr="00E47275" w:rsidRDefault="00865A80" w:rsidP="00865A80">
      <w:pPr>
        <w:spacing w:after="0" w:line="360" w:lineRule="auto"/>
        <w:contextualSpacing/>
        <w:rPr>
          <w:rFonts w:cs="Arial"/>
          <w:b w:val="0"/>
          <w:sz w:val="24"/>
          <w:szCs w:val="24"/>
        </w:rPr>
      </w:pPr>
      <w:r w:rsidRPr="00E47275">
        <w:rPr>
          <w:rFonts w:cs="Arial"/>
          <w:sz w:val="24"/>
          <w:szCs w:val="24"/>
        </w:rPr>
        <w:t>INZ-PEI 2024-01-2021</w:t>
      </w:r>
    </w:p>
    <w:p w:rsidR="00E539FE" w:rsidRDefault="00865A80" w:rsidP="00E539FE">
      <w:pPr>
        <w:spacing w:after="0" w:line="360" w:lineRule="auto"/>
        <w:contextualSpacing/>
        <w:rPr>
          <w:rFonts w:cs="Arial"/>
          <w:sz w:val="24"/>
          <w:szCs w:val="24"/>
        </w:rPr>
      </w:pPr>
      <w:r w:rsidRPr="00E47275">
        <w:rPr>
          <w:rFonts w:cs="Arial"/>
          <w:sz w:val="24"/>
          <w:szCs w:val="24"/>
        </w:rPr>
        <w:t xml:space="preserve">20 de Junio, 2021 </w:t>
      </w:r>
    </w:p>
    <w:p w:rsidR="00E539FE" w:rsidRDefault="00E539FE" w:rsidP="00E539FE">
      <w:pPr>
        <w:spacing w:after="0" w:line="360" w:lineRule="auto"/>
        <w:contextualSpacing/>
        <w:rPr>
          <w:rFonts w:cs="Arial"/>
          <w:sz w:val="24"/>
          <w:szCs w:val="24"/>
        </w:rPr>
      </w:pPr>
    </w:p>
    <w:p w:rsidR="00E539FE" w:rsidRDefault="00E539FE" w:rsidP="00E539FE">
      <w:pPr>
        <w:spacing w:after="0" w:line="360" w:lineRule="auto"/>
        <w:contextualSpacing/>
        <w:rPr>
          <w:rFonts w:cs="Arial"/>
          <w:sz w:val="24"/>
          <w:szCs w:val="24"/>
        </w:rPr>
      </w:pPr>
    </w:p>
    <w:p w:rsidR="00E539FE" w:rsidRDefault="00E539FE" w:rsidP="00E539FE">
      <w:pPr>
        <w:spacing w:after="0" w:line="360" w:lineRule="auto"/>
        <w:contextualSpacing/>
        <w:rPr>
          <w:rFonts w:cs="Arial"/>
          <w:sz w:val="24"/>
          <w:szCs w:val="24"/>
        </w:rPr>
      </w:pPr>
    </w:p>
    <w:p w:rsidR="00E539FE" w:rsidRDefault="00E539FE" w:rsidP="00E539FE">
      <w:pPr>
        <w:spacing w:after="0" w:line="360" w:lineRule="auto"/>
        <w:contextualSpacing/>
        <w:rPr>
          <w:rFonts w:cs="Arial"/>
          <w:sz w:val="24"/>
          <w:szCs w:val="24"/>
        </w:rPr>
      </w:pPr>
    </w:p>
    <w:p w:rsidR="00E539FE" w:rsidRDefault="00E539FE" w:rsidP="00E539FE">
      <w:pPr>
        <w:spacing w:after="0" w:line="360" w:lineRule="auto"/>
        <w:contextualSpacing/>
        <w:rPr>
          <w:rFonts w:cs="Arial"/>
          <w:sz w:val="24"/>
          <w:szCs w:val="24"/>
        </w:rPr>
        <w:sectPr w:rsidR="00E539FE" w:rsidSect="00102C17">
          <w:pgSz w:w="12240" w:h="15840"/>
          <w:pgMar w:top="1440" w:right="1440" w:bottom="1440" w:left="1440" w:header="708" w:footer="708" w:gutter="0"/>
          <w:cols w:space="708"/>
          <w:titlePg/>
          <w:docGrid w:linePitch="382"/>
        </w:sectPr>
      </w:pPr>
    </w:p>
    <w:p w:rsidR="00E539FE" w:rsidRDefault="00E539FE" w:rsidP="00E539FE">
      <w:pPr>
        <w:spacing w:after="0" w:line="360" w:lineRule="auto"/>
        <w:contextualSpacing/>
        <w:rPr>
          <w:rFonts w:cs="Arial"/>
          <w:sz w:val="24"/>
          <w:szCs w:val="24"/>
        </w:rPr>
      </w:pPr>
    </w:p>
    <w:sdt>
      <w:sdtPr>
        <w:rPr>
          <w:rFonts w:ascii="Gill Sans MT" w:eastAsiaTheme="minorHAnsi" w:hAnsi="Gill Sans MT" w:cstheme="minorBidi"/>
          <w:b/>
          <w:color w:val="auto"/>
          <w:sz w:val="24"/>
          <w:szCs w:val="24"/>
          <w:lang w:val="es-DO"/>
        </w:rPr>
        <w:id w:val="-1241409046"/>
        <w:docPartObj>
          <w:docPartGallery w:val="Table of Contents"/>
          <w:docPartUnique/>
        </w:docPartObj>
      </w:sdtPr>
      <w:sdtEndPr>
        <w:rPr>
          <w:bCs/>
          <w:noProof/>
          <w:sz w:val="28"/>
          <w:szCs w:val="22"/>
        </w:rPr>
      </w:sdtEndPr>
      <w:sdtContent>
        <w:p w:rsidR="00E539FE" w:rsidRPr="00572AF8" w:rsidRDefault="00E539FE" w:rsidP="00E539FE">
          <w:pPr>
            <w:pStyle w:val="TtulodeTDC"/>
            <w:spacing w:before="0" w:line="360" w:lineRule="auto"/>
            <w:jc w:val="center"/>
            <w:rPr>
              <w:rFonts w:ascii="Gill Sans MT" w:hAnsi="Gill Sans MT"/>
              <w:b/>
              <w:bCs/>
              <w:sz w:val="28"/>
              <w:szCs w:val="28"/>
              <w:lang w:val="es-DO"/>
            </w:rPr>
          </w:pPr>
          <w:r w:rsidRPr="00572AF8">
            <w:rPr>
              <w:rFonts w:ascii="Gill Sans MT" w:hAnsi="Gill Sans MT"/>
              <w:b/>
              <w:bCs/>
              <w:sz w:val="28"/>
              <w:szCs w:val="28"/>
              <w:lang w:val="es-DO"/>
            </w:rPr>
            <w:t>CONTENIDO</w:t>
          </w:r>
        </w:p>
        <w:p w:rsidR="00E539FE" w:rsidRPr="00572AF8" w:rsidRDefault="00E539FE" w:rsidP="00E539FE">
          <w:pPr>
            <w:spacing w:after="0" w:line="360" w:lineRule="auto"/>
            <w:rPr>
              <w:b w:val="0"/>
              <w:sz w:val="24"/>
              <w:szCs w:val="24"/>
            </w:rPr>
          </w:pPr>
        </w:p>
        <w:p w:rsidR="00E539FE" w:rsidRPr="00E539FE" w:rsidRDefault="00D87D43" w:rsidP="00E539FE">
          <w:pPr>
            <w:pStyle w:val="TDC1"/>
            <w:tabs>
              <w:tab w:val="right" w:leader="dot" w:pos="9350"/>
            </w:tabs>
            <w:spacing w:after="0" w:line="360" w:lineRule="auto"/>
            <w:rPr>
              <w:rFonts w:eastAsiaTheme="minorEastAsia"/>
              <w:b w:val="0"/>
              <w:noProof/>
              <w:sz w:val="24"/>
              <w:szCs w:val="24"/>
              <w:lang w:val="en-US"/>
            </w:rPr>
          </w:pPr>
          <w:r w:rsidRPr="00E539FE">
            <w:rPr>
              <w:b w:val="0"/>
              <w:sz w:val="24"/>
              <w:szCs w:val="24"/>
            </w:rPr>
            <w:fldChar w:fldCharType="begin"/>
          </w:r>
          <w:r w:rsidR="00E539FE" w:rsidRPr="00E539FE">
            <w:rPr>
              <w:b w:val="0"/>
              <w:sz w:val="24"/>
              <w:szCs w:val="24"/>
            </w:rPr>
            <w:instrText xml:space="preserve"> TOC \o "1-3" \h \z \u </w:instrText>
          </w:r>
          <w:r w:rsidRPr="00E539FE">
            <w:rPr>
              <w:b w:val="0"/>
              <w:sz w:val="24"/>
              <w:szCs w:val="24"/>
            </w:rPr>
            <w:fldChar w:fldCharType="separate"/>
          </w:r>
          <w:hyperlink w:anchor="_Toc80177686" w:history="1">
            <w:r w:rsidR="00E539FE" w:rsidRPr="00E539FE">
              <w:rPr>
                <w:rStyle w:val="Hipervnculo"/>
                <w:b w:val="0"/>
                <w:noProof/>
                <w:sz w:val="24"/>
                <w:szCs w:val="24"/>
              </w:rPr>
              <w:t>CARTA DEL DIRECTOR</w:t>
            </w:r>
            <w:r w:rsidR="00E539FE" w:rsidRPr="00E539FE">
              <w:rPr>
                <w:b w:val="0"/>
                <w:noProof/>
                <w:webHidden/>
                <w:sz w:val="24"/>
                <w:szCs w:val="24"/>
              </w:rPr>
              <w:tab/>
            </w:r>
            <w:r w:rsidRPr="00E539FE">
              <w:rPr>
                <w:b w:val="0"/>
                <w:noProof/>
                <w:webHidden/>
                <w:sz w:val="24"/>
                <w:szCs w:val="24"/>
              </w:rPr>
              <w:fldChar w:fldCharType="begin"/>
            </w:r>
            <w:r w:rsidR="00E539FE" w:rsidRPr="00E539FE">
              <w:rPr>
                <w:b w:val="0"/>
                <w:noProof/>
                <w:webHidden/>
                <w:sz w:val="24"/>
                <w:szCs w:val="24"/>
              </w:rPr>
              <w:instrText xml:space="preserve"> PAGEREF _Toc80177686 \h </w:instrText>
            </w:r>
            <w:r w:rsidRPr="00E539FE">
              <w:rPr>
                <w:b w:val="0"/>
                <w:noProof/>
                <w:webHidden/>
                <w:sz w:val="24"/>
                <w:szCs w:val="24"/>
              </w:rPr>
            </w:r>
            <w:r w:rsidRPr="00E539FE">
              <w:rPr>
                <w:b w:val="0"/>
                <w:noProof/>
                <w:webHidden/>
                <w:sz w:val="24"/>
                <w:szCs w:val="24"/>
              </w:rPr>
              <w:fldChar w:fldCharType="separate"/>
            </w:r>
            <w:r w:rsidR="00E539FE" w:rsidRPr="00E539FE">
              <w:rPr>
                <w:b w:val="0"/>
                <w:noProof/>
                <w:webHidden/>
                <w:sz w:val="24"/>
                <w:szCs w:val="24"/>
              </w:rPr>
              <w:t>5</w:t>
            </w:r>
            <w:r w:rsidRPr="00E539FE">
              <w:rPr>
                <w:b w:val="0"/>
                <w:noProof/>
                <w:webHidden/>
                <w:sz w:val="24"/>
                <w:szCs w:val="24"/>
              </w:rPr>
              <w:fldChar w:fldCharType="end"/>
            </w:r>
          </w:hyperlink>
        </w:p>
        <w:p w:rsidR="00E539FE" w:rsidRPr="00E539FE" w:rsidRDefault="00D87D43" w:rsidP="00E539FE">
          <w:pPr>
            <w:pStyle w:val="TDC1"/>
            <w:tabs>
              <w:tab w:val="right" w:leader="dot" w:pos="9350"/>
            </w:tabs>
            <w:spacing w:after="0" w:line="360" w:lineRule="auto"/>
            <w:rPr>
              <w:rFonts w:eastAsiaTheme="minorEastAsia"/>
              <w:b w:val="0"/>
              <w:noProof/>
              <w:sz w:val="24"/>
              <w:szCs w:val="24"/>
              <w:lang w:val="en-US"/>
            </w:rPr>
          </w:pPr>
          <w:hyperlink w:anchor="_Toc80177687" w:history="1">
            <w:r w:rsidR="00E539FE" w:rsidRPr="00E539FE">
              <w:rPr>
                <w:rStyle w:val="Hipervnculo"/>
                <w:b w:val="0"/>
                <w:noProof/>
                <w:sz w:val="24"/>
                <w:szCs w:val="24"/>
              </w:rPr>
              <w:t>INTRODUCCIÓN</w:t>
            </w:r>
            <w:r w:rsidR="00E539FE" w:rsidRPr="00E539FE">
              <w:rPr>
                <w:b w:val="0"/>
                <w:noProof/>
                <w:webHidden/>
                <w:sz w:val="24"/>
                <w:szCs w:val="24"/>
              </w:rPr>
              <w:tab/>
            </w:r>
            <w:r w:rsidRPr="00E539FE">
              <w:rPr>
                <w:b w:val="0"/>
                <w:noProof/>
                <w:webHidden/>
                <w:sz w:val="24"/>
                <w:szCs w:val="24"/>
              </w:rPr>
              <w:fldChar w:fldCharType="begin"/>
            </w:r>
            <w:r w:rsidR="00E539FE" w:rsidRPr="00E539FE">
              <w:rPr>
                <w:b w:val="0"/>
                <w:noProof/>
                <w:webHidden/>
                <w:sz w:val="24"/>
                <w:szCs w:val="24"/>
              </w:rPr>
              <w:instrText xml:space="preserve"> PAGEREF _Toc80177687 \h </w:instrText>
            </w:r>
            <w:r w:rsidRPr="00E539FE">
              <w:rPr>
                <w:b w:val="0"/>
                <w:noProof/>
                <w:webHidden/>
                <w:sz w:val="24"/>
                <w:szCs w:val="24"/>
              </w:rPr>
            </w:r>
            <w:r w:rsidRPr="00E539FE">
              <w:rPr>
                <w:b w:val="0"/>
                <w:noProof/>
                <w:webHidden/>
                <w:sz w:val="24"/>
                <w:szCs w:val="24"/>
              </w:rPr>
              <w:fldChar w:fldCharType="separate"/>
            </w:r>
            <w:r w:rsidR="00E539FE" w:rsidRPr="00E539FE">
              <w:rPr>
                <w:b w:val="0"/>
                <w:noProof/>
                <w:webHidden/>
                <w:sz w:val="24"/>
                <w:szCs w:val="24"/>
              </w:rPr>
              <w:t>8</w:t>
            </w:r>
            <w:r w:rsidRPr="00E539FE">
              <w:rPr>
                <w:b w:val="0"/>
                <w:noProof/>
                <w:webHidden/>
                <w:sz w:val="24"/>
                <w:szCs w:val="24"/>
              </w:rPr>
              <w:fldChar w:fldCharType="end"/>
            </w:r>
          </w:hyperlink>
        </w:p>
        <w:p w:rsidR="00E539FE" w:rsidRPr="00E539FE" w:rsidRDefault="00D87D43" w:rsidP="00E539FE">
          <w:pPr>
            <w:pStyle w:val="TDC1"/>
            <w:tabs>
              <w:tab w:val="left" w:pos="660"/>
              <w:tab w:val="right" w:leader="dot" w:pos="9350"/>
            </w:tabs>
            <w:spacing w:after="0" w:line="360" w:lineRule="auto"/>
            <w:rPr>
              <w:rFonts w:eastAsiaTheme="minorEastAsia"/>
              <w:b w:val="0"/>
              <w:noProof/>
              <w:sz w:val="24"/>
              <w:szCs w:val="24"/>
              <w:lang w:val="en-US"/>
            </w:rPr>
          </w:pPr>
          <w:hyperlink w:anchor="_Toc80177688" w:history="1">
            <w:r w:rsidR="00E539FE" w:rsidRPr="00E539FE">
              <w:rPr>
                <w:rStyle w:val="Hipervnculo"/>
                <w:b w:val="0"/>
                <w:noProof/>
                <w:sz w:val="24"/>
                <w:szCs w:val="24"/>
              </w:rPr>
              <w:t>1.</w:t>
            </w:r>
            <w:r w:rsidR="00E539FE" w:rsidRPr="00E539FE">
              <w:rPr>
                <w:rFonts w:eastAsiaTheme="minorEastAsia"/>
                <w:b w:val="0"/>
                <w:noProof/>
                <w:sz w:val="24"/>
                <w:szCs w:val="24"/>
                <w:lang w:val="en-US"/>
              </w:rPr>
              <w:tab/>
            </w:r>
            <w:r w:rsidR="00E539FE" w:rsidRPr="00E539FE">
              <w:rPr>
                <w:rStyle w:val="Hipervnculo"/>
                <w:b w:val="0"/>
                <w:noProof/>
                <w:sz w:val="24"/>
                <w:szCs w:val="24"/>
              </w:rPr>
              <w:t>BREVE HISTORIA INSTITUCIONAL</w:t>
            </w:r>
            <w:r w:rsidR="00E539FE" w:rsidRPr="00E539FE">
              <w:rPr>
                <w:b w:val="0"/>
                <w:noProof/>
                <w:webHidden/>
                <w:sz w:val="24"/>
                <w:szCs w:val="24"/>
              </w:rPr>
              <w:tab/>
            </w:r>
            <w:r w:rsidRPr="00E539FE">
              <w:rPr>
                <w:b w:val="0"/>
                <w:noProof/>
                <w:webHidden/>
                <w:sz w:val="24"/>
                <w:szCs w:val="24"/>
              </w:rPr>
              <w:fldChar w:fldCharType="begin"/>
            </w:r>
            <w:r w:rsidR="00E539FE" w:rsidRPr="00E539FE">
              <w:rPr>
                <w:b w:val="0"/>
                <w:noProof/>
                <w:webHidden/>
                <w:sz w:val="24"/>
                <w:szCs w:val="24"/>
              </w:rPr>
              <w:instrText xml:space="preserve"> PAGEREF _Toc80177688 \h </w:instrText>
            </w:r>
            <w:r w:rsidRPr="00E539FE">
              <w:rPr>
                <w:b w:val="0"/>
                <w:noProof/>
                <w:webHidden/>
                <w:sz w:val="24"/>
                <w:szCs w:val="24"/>
              </w:rPr>
            </w:r>
            <w:r w:rsidRPr="00E539FE">
              <w:rPr>
                <w:b w:val="0"/>
                <w:noProof/>
                <w:webHidden/>
                <w:sz w:val="24"/>
                <w:szCs w:val="24"/>
              </w:rPr>
              <w:fldChar w:fldCharType="separate"/>
            </w:r>
            <w:r w:rsidR="00E539FE" w:rsidRPr="00E539FE">
              <w:rPr>
                <w:b w:val="0"/>
                <w:noProof/>
                <w:webHidden/>
                <w:sz w:val="24"/>
                <w:szCs w:val="24"/>
              </w:rPr>
              <w:t>10</w:t>
            </w:r>
            <w:r w:rsidRPr="00E539FE">
              <w:rPr>
                <w:b w:val="0"/>
                <w:noProof/>
                <w:webHidden/>
                <w:sz w:val="24"/>
                <w:szCs w:val="24"/>
              </w:rPr>
              <w:fldChar w:fldCharType="end"/>
            </w:r>
          </w:hyperlink>
        </w:p>
        <w:p w:rsidR="00E539FE" w:rsidRPr="00E539FE" w:rsidRDefault="00D87D43" w:rsidP="00E539FE">
          <w:pPr>
            <w:pStyle w:val="TDC1"/>
            <w:tabs>
              <w:tab w:val="left" w:pos="660"/>
              <w:tab w:val="right" w:leader="dot" w:pos="9350"/>
            </w:tabs>
            <w:spacing w:after="0" w:line="360" w:lineRule="auto"/>
            <w:rPr>
              <w:rFonts w:eastAsiaTheme="minorEastAsia"/>
              <w:b w:val="0"/>
              <w:noProof/>
              <w:sz w:val="24"/>
              <w:szCs w:val="24"/>
              <w:lang w:val="en-US"/>
            </w:rPr>
          </w:pPr>
          <w:hyperlink w:anchor="_Toc80177689" w:history="1">
            <w:r w:rsidR="00E539FE" w:rsidRPr="00E539FE">
              <w:rPr>
                <w:rStyle w:val="Hipervnculo"/>
                <w:b w:val="0"/>
                <w:noProof/>
                <w:sz w:val="24"/>
                <w:szCs w:val="24"/>
              </w:rPr>
              <w:t>2.</w:t>
            </w:r>
            <w:r w:rsidR="00E539FE" w:rsidRPr="00E539FE">
              <w:rPr>
                <w:rFonts w:eastAsiaTheme="minorEastAsia"/>
                <w:b w:val="0"/>
                <w:noProof/>
                <w:sz w:val="24"/>
                <w:szCs w:val="24"/>
                <w:lang w:val="en-US"/>
              </w:rPr>
              <w:tab/>
            </w:r>
            <w:r w:rsidR="00E539FE" w:rsidRPr="00E539FE">
              <w:rPr>
                <w:rStyle w:val="Hipervnculo"/>
                <w:b w:val="0"/>
                <w:noProof/>
                <w:sz w:val="24"/>
                <w:szCs w:val="24"/>
              </w:rPr>
              <w:t>ASPECTOS METODOLÓGICOS</w:t>
            </w:r>
            <w:r w:rsidR="00E539FE" w:rsidRPr="00E539FE">
              <w:rPr>
                <w:b w:val="0"/>
                <w:noProof/>
                <w:webHidden/>
                <w:sz w:val="24"/>
                <w:szCs w:val="24"/>
              </w:rPr>
              <w:tab/>
            </w:r>
            <w:r w:rsidRPr="00E539FE">
              <w:rPr>
                <w:b w:val="0"/>
                <w:noProof/>
                <w:webHidden/>
                <w:sz w:val="24"/>
                <w:szCs w:val="24"/>
              </w:rPr>
              <w:fldChar w:fldCharType="begin"/>
            </w:r>
            <w:r w:rsidR="00E539FE" w:rsidRPr="00E539FE">
              <w:rPr>
                <w:b w:val="0"/>
                <w:noProof/>
                <w:webHidden/>
                <w:sz w:val="24"/>
                <w:szCs w:val="24"/>
              </w:rPr>
              <w:instrText xml:space="preserve"> PAGEREF _Toc80177689 \h </w:instrText>
            </w:r>
            <w:r w:rsidRPr="00E539FE">
              <w:rPr>
                <w:b w:val="0"/>
                <w:noProof/>
                <w:webHidden/>
                <w:sz w:val="24"/>
                <w:szCs w:val="24"/>
              </w:rPr>
            </w:r>
            <w:r w:rsidRPr="00E539FE">
              <w:rPr>
                <w:b w:val="0"/>
                <w:noProof/>
                <w:webHidden/>
                <w:sz w:val="24"/>
                <w:szCs w:val="24"/>
              </w:rPr>
              <w:fldChar w:fldCharType="separate"/>
            </w:r>
            <w:r w:rsidR="00E539FE" w:rsidRPr="00E539FE">
              <w:rPr>
                <w:b w:val="0"/>
                <w:noProof/>
                <w:webHidden/>
                <w:sz w:val="24"/>
                <w:szCs w:val="24"/>
              </w:rPr>
              <w:t>12</w:t>
            </w:r>
            <w:r w:rsidRPr="00E539FE">
              <w:rPr>
                <w:b w:val="0"/>
                <w:noProof/>
                <w:webHidden/>
                <w:sz w:val="24"/>
                <w:szCs w:val="24"/>
              </w:rPr>
              <w:fldChar w:fldCharType="end"/>
            </w:r>
          </w:hyperlink>
        </w:p>
        <w:p w:rsidR="00E539FE" w:rsidRPr="00E539FE" w:rsidRDefault="00D87D43" w:rsidP="00E539FE">
          <w:pPr>
            <w:pStyle w:val="TDC1"/>
            <w:tabs>
              <w:tab w:val="left" w:pos="880"/>
              <w:tab w:val="right" w:leader="dot" w:pos="9350"/>
            </w:tabs>
            <w:spacing w:after="0" w:line="360" w:lineRule="auto"/>
            <w:rPr>
              <w:rFonts w:eastAsiaTheme="minorEastAsia"/>
              <w:b w:val="0"/>
              <w:noProof/>
              <w:sz w:val="24"/>
              <w:szCs w:val="24"/>
              <w:lang w:val="en-US"/>
            </w:rPr>
          </w:pPr>
          <w:hyperlink w:anchor="_Toc80177690" w:history="1">
            <w:r w:rsidR="00E539FE" w:rsidRPr="00E539FE">
              <w:rPr>
                <w:rStyle w:val="Hipervnculo"/>
                <w:b w:val="0"/>
                <w:noProof/>
                <w:sz w:val="24"/>
                <w:szCs w:val="24"/>
              </w:rPr>
              <w:t>2.1.</w:t>
            </w:r>
            <w:r w:rsidR="00E539FE" w:rsidRPr="00E539FE">
              <w:rPr>
                <w:rFonts w:eastAsiaTheme="minorEastAsia"/>
                <w:b w:val="0"/>
                <w:noProof/>
                <w:sz w:val="24"/>
                <w:szCs w:val="24"/>
                <w:lang w:val="en-US"/>
              </w:rPr>
              <w:tab/>
            </w:r>
            <w:r w:rsidR="00E539FE" w:rsidRPr="00E539FE">
              <w:rPr>
                <w:rStyle w:val="Hipervnculo"/>
                <w:b w:val="0"/>
                <w:noProof/>
                <w:sz w:val="24"/>
                <w:szCs w:val="24"/>
              </w:rPr>
              <w:t>Fase I: Preparación del Proceso de Planificación</w:t>
            </w:r>
            <w:r w:rsidR="00E539FE" w:rsidRPr="00E539FE">
              <w:rPr>
                <w:b w:val="0"/>
                <w:noProof/>
                <w:webHidden/>
                <w:sz w:val="24"/>
                <w:szCs w:val="24"/>
              </w:rPr>
              <w:tab/>
            </w:r>
            <w:r w:rsidRPr="00E539FE">
              <w:rPr>
                <w:b w:val="0"/>
                <w:noProof/>
                <w:webHidden/>
                <w:sz w:val="24"/>
                <w:szCs w:val="24"/>
              </w:rPr>
              <w:fldChar w:fldCharType="begin"/>
            </w:r>
            <w:r w:rsidR="00E539FE" w:rsidRPr="00E539FE">
              <w:rPr>
                <w:b w:val="0"/>
                <w:noProof/>
                <w:webHidden/>
                <w:sz w:val="24"/>
                <w:szCs w:val="24"/>
              </w:rPr>
              <w:instrText xml:space="preserve"> PAGEREF _Toc80177690 \h </w:instrText>
            </w:r>
            <w:r w:rsidRPr="00E539FE">
              <w:rPr>
                <w:b w:val="0"/>
                <w:noProof/>
                <w:webHidden/>
                <w:sz w:val="24"/>
                <w:szCs w:val="24"/>
              </w:rPr>
            </w:r>
            <w:r w:rsidRPr="00E539FE">
              <w:rPr>
                <w:b w:val="0"/>
                <w:noProof/>
                <w:webHidden/>
                <w:sz w:val="24"/>
                <w:szCs w:val="24"/>
              </w:rPr>
              <w:fldChar w:fldCharType="separate"/>
            </w:r>
            <w:r w:rsidR="00E539FE" w:rsidRPr="00E539FE">
              <w:rPr>
                <w:b w:val="0"/>
                <w:noProof/>
                <w:webHidden/>
                <w:sz w:val="24"/>
                <w:szCs w:val="24"/>
              </w:rPr>
              <w:t>12</w:t>
            </w:r>
            <w:r w:rsidRPr="00E539FE">
              <w:rPr>
                <w:b w:val="0"/>
                <w:noProof/>
                <w:webHidden/>
                <w:sz w:val="24"/>
                <w:szCs w:val="24"/>
              </w:rPr>
              <w:fldChar w:fldCharType="end"/>
            </w:r>
          </w:hyperlink>
        </w:p>
        <w:p w:rsidR="00E539FE" w:rsidRPr="00E539FE" w:rsidRDefault="00D87D43" w:rsidP="00E539FE">
          <w:pPr>
            <w:pStyle w:val="TDC1"/>
            <w:tabs>
              <w:tab w:val="left" w:pos="880"/>
              <w:tab w:val="right" w:leader="dot" w:pos="9350"/>
            </w:tabs>
            <w:spacing w:after="0" w:line="360" w:lineRule="auto"/>
            <w:rPr>
              <w:rFonts w:eastAsiaTheme="minorEastAsia"/>
              <w:b w:val="0"/>
              <w:noProof/>
              <w:sz w:val="24"/>
              <w:szCs w:val="24"/>
              <w:lang w:val="en-US"/>
            </w:rPr>
          </w:pPr>
          <w:hyperlink w:anchor="_Toc80177691" w:history="1">
            <w:r w:rsidR="00E539FE" w:rsidRPr="00E539FE">
              <w:rPr>
                <w:rStyle w:val="Hipervnculo"/>
                <w:b w:val="0"/>
                <w:noProof/>
                <w:sz w:val="24"/>
                <w:szCs w:val="24"/>
              </w:rPr>
              <w:t>2.2.</w:t>
            </w:r>
            <w:r w:rsidR="00E539FE" w:rsidRPr="00E539FE">
              <w:rPr>
                <w:rFonts w:eastAsiaTheme="minorEastAsia"/>
                <w:b w:val="0"/>
                <w:noProof/>
                <w:sz w:val="24"/>
                <w:szCs w:val="24"/>
                <w:lang w:val="en-US"/>
              </w:rPr>
              <w:tab/>
            </w:r>
            <w:r w:rsidR="00E539FE" w:rsidRPr="00E539FE">
              <w:rPr>
                <w:rStyle w:val="Hipervnculo"/>
                <w:b w:val="0"/>
                <w:noProof/>
                <w:sz w:val="24"/>
                <w:szCs w:val="24"/>
              </w:rPr>
              <w:t>Fase II: Diagnóstico Institucional</w:t>
            </w:r>
            <w:r w:rsidR="00E539FE" w:rsidRPr="00E539FE">
              <w:rPr>
                <w:b w:val="0"/>
                <w:noProof/>
                <w:webHidden/>
                <w:sz w:val="24"/>
                <w:szCs w:val="24"/>
              </w:rPr>
              <w:tab/>
            </w:r>
            <w:r w:rsidRPr="00E539FE">
              <w:rPr>
                <w:b w:val="0"/>
                <w:noProof/>
                <w:webHidden/>
                <w:sz w:val="24"/>
                <w:szCs w:val="24"/>
              </w:rPr>
              <w:fldChar w:fldCharType="begin"/>
            </w:r>
            <w:r w:rsidR="00E539FE" w:rsidRPr="00E539FE">
              <w:rPr>
                <w:b w:val="0"/>
                <w:noProof/>
                <w:webHidden/>
                <w:sz w:val="24"/>
                <w:szCs w:val="24"/>
              </w:rPr>
              <w:instrText xml:space="preserve"> PAGEREF _Toc80177691 \h </w:instrText>
            </w:r>
            <w:r w:rsidRPr="00E539FE">
              <w:rPr>
                <w:b w:val="0"/>
                <w:noProof/>
                <w:webHidden/>
                <w:sz w:val="24"/>
                <w:szCs w:val="24"/>
              </w:rPr>
            </w:r>
            <w:r w:rsidRPr="00E539FE">
              <w:rPr>
                <w:b w:val="0"/>
                <w:noProof/>
                <w:webHidden/>
                <w:sz w:val="24"/>
                <w:szCs w:val="24"/>
              </w:rPr>
              <w:fldChar w:fldCharType="separate"/>
            </w:r>
            <w:r w:rsidR="00E539FE" w:rsidRPr="00E539FE">
              <w:rPr>
                <w:b w:val="0"/>
                <w:noProof/>
                <w:webHidden/>
                <w:sz w:val="24"/>
                <w:szCs w:val="24"/>
              </w:rPr>
              <w:t>14</w:t>
            </w:r>
            <w:r w:rsidRPr="00E539FE">
              <w:rPr>
                <w:b w:val="0"/>
                <w:noProof/>
                <w:webHidden/>
                <w:sz w:val="24"/>
                <w:szCs w:val="24"/>
              </w:rPr>
              <w:fldChar w:fldCharType="end"/>
            </w:r>
          </w:hyperlink>
        </w:p>
        <w:p w:rsidR="00E539FE" w:rsidRPr="00E539FE" w:rsidRDefault="00D87D43" w:rsidP="00E539FE">
          <w:pPr>
            <w:pStyle w:val="TDC1"/>
            <w:tabs>
              <w:tab w:val="left" w:pos="880"/>
              <w:tab w:val="right" w:leader="dot" w:pos="9350"/>
            </w:tabs>
            <w:spacing w:after="0" w:line="360" w:lineRule="auto"/>
            <w:rPr>
              <w:rFonts w:eastAsiaTheme="minorEastAsia"/>
              <w:b w:val="0"/>
              <w:noProof/>
              <w:sz w:val="24"/>
              <w:szCs w:val="24"/>
              <w:lang w:val="en-US"/>
            </w:rPr>
          </w:pPr>
          <w:hyperlink w:anchor="_Toc80177692" w:history="1">
            <w:r w:rsidR="00E539FE" w:rsidRPr="00E539FE">
              <w:rPr>
                <w:rStyle w:val="Hipervnculo"/>
                <w:b w:val="0"/>
                <w:noProof/>
                <w:sz w:val="24"/>
                <w:szCs w:val="24"/>
              </w:rPr>
              <w:t>2.3.</w:t>
            </w:r>
            <w:r w:rsidR="00E539FE" w:rsidRPr="00E539FE">
              <w:rPr>
                <w:rFonts w:eastAsiaTheme="minorEastAsia"/>
                <w:b w:val="0"/>
                <w:noProof/>
                <w:sz w:val="24"/>
                <w:szCs w:val="24"/>
                <w:lang w:val="en-US"/>
              </w:rPr>
              <w:tab/>
            </w:r>
            <w:r w:rsidR="00E539FE" w:rsidRPr="00E539FE">
              <w:rPr>
                <w:rStyle w:val="Hipervnculo"/>
                <w:b w:val="0"/>
                <w:noProof/>
                <w:sz w:val="24"/>
                <w:szCs w:val="24"/>
              </w:rPr>
              <w:t>Fase II: Formulación del PEI</w:t>
            </w:r>
            <w:r w:rsidR="00E539FE" w:rsidRPr="00E539FE">
              <w:rPr>
                <w:b w:val="0"/>
                <w:noProof/>
                <w:webHidden/>
                <w:sz w:val="24"/>
                <w:szCs w:val="24"/>
              </w:rPr>
              <w:tab/>
            </w:r>
            <w:r w:rsidRPr="00E539FE">
              <w:rPr>
                <w:b w:val="0"/>
                <w:noProof/>
                <w:webHidden/>
                <w:sz w:val="24"/>
                <w:szCs w:val="24"/>
              </w:rPr>
              <w:fldChar w:fldCharType="begin"/>
            </w:r>
            <w:r w:rsidR="00E539FE" w:rsidRPr="00E539FE">
              <w:rPr>
                <w:b w:val="0"/>
                <w:noProof/>
                <w:webHidden/>
                <w:sz w:val="24"/>
                <w:szCs w:val="24"/>
              </w:rPr>
              <w:instrText xml:space="preserve"> PAGEREF _Toc80177692 \h </w:instrText>
            </w:r>
            <w:r w:rsidRPr="00E539FE">
              <w:rPr>
                <w:b w:val="0"/>
                <w:noProof/>
                <w:webHidden/>
                <w:sz w:val="24"/>
                <w:szCs w:val="24"/>
              </w:rPr>
            </w:r>
            <w:r w:rsidRPr="00E539FE">
              <w:rPr>
                <w:b w:val="0"/>
                <w:noProof/>
                <w:webHidden/>
                <w:sz w:val="24"/>
                <w:szCs w:val="24"/>
              </w:rPr>
              <w:fldChar w:fldCharType="separate"/>
            </w:r>
            <w:r w:rsidR="00E539FE" w:rsidRPr="00E539FE">
              <w:rPr>
                <w:b w:val="0"/>
                <w:noProof/>
                <w:webHidden/>
                <w:sz w:val="24"/>
                <w:szCs w:val="24"/>
              </w:rPr>
              <w:t>15</w:t>
            </w:r>
            <w:r w:rsidRPr="00E539FE">
              <w:rPr>
                <w:b w:val="0"/>
                <w:noProof/>
                <w:webHidden/>
                <w:sz w:val="24"/>
                <w:szCs w:val="24"/>
              </w:rPr>
              <w:fldChar w:fldCharType="end"/>
            </w:r>
          </w:hyperlink>
        </w:p>
        <w:p w:rsidR="00E539FE" w:rsidRPr="00E539FE" w:rsidRDefault="00D87D43" w:rsidP="00E539FE">
          <w:pPr>
            <w:pStyle w:val="TDC1"/>
            <w:tabs>
              <w:tab w:val="left" w:pos="660"/>
              <w:tab w:val="right" w:leader="dot" w:pos="9350"/>
            </w:tabs>
            <w:spacing w:after="0" w:line="360" w:lineRule="auto"/>
            <w:rPr>
              <w:rFonts w:eastAsiaTheme="minorEastAsia"/>
              <w:b w:val="0"/>
              <w:noProof/>
              <w:sz w:val="24"/>
              <w:szCs w:val="24"/>
              <w:lang w:val="en-US"/>
            </w:rPr>
          </w:pPr>
          <w:hyperlink w:anchor="_Toc80177693" w:history="1">
            <w:r w:rsidR="00E539FE" w:rsidRPr="00E539FE">
              <w:rPr>
                <w:rStyle w:val="Hipervnculo"/>
                <w:b w:val="0"/>
                <w:noProof/>
                <w:sz w:val="24"/>
                <w:szCs w:val="24"/>
              </w:rPr>
              <w:t>3.</w:t>
            </w:r>
            <w:r w:rsidR="00E539FE" w:rsidRPr="00E539FE">
              <w:rPr>
                <w:rFonts w:eastAsiaTheme="minorEastAsia"/>
                <w:b w:val="0"/>
                <w:noProof/>
                <w:sz w:val="24"/>
                <w:szCs w:val="24"/>
                <w:lang w:val="en-US"/>
              </w:rPr>
              <w:tab/>
            </w:r>
            <w:r w:rsidR="00E539FE" w:rsidRPr="00E539FE">
              <w:rPr>
                <w:rStyle w:val="Hipervnculo"/>
                <w:b w:val="0"/>
                <w:noProof/>
                <w:sz w:val="24"/>
                <w:szCs w:val="24"/>
              </w:rPr>
              <w:t>ALINEACIÓN CON EL MARCO GLOBAL Y EL MARCO NACIONAL DE LA PLANIFICACIÓN</w:t>
            </w:r>
            <w:r w:rsidR="00E539FE" w:rsidRPr="00E539FE">
              <w:rPr>
                <w:b w:val="0"/>
                <w:noProof/>
                <w:webHidden/>
                <w:sz w:val="24"/>
                <w:szCs w:val="24"/>
              </w:rPr>
              <w:tab/>
            </w:r>
            <w:r w:rsidRPr="00E539FE">
              <w:rPr>
                <w:b w:val="0"/>
                <w:noProof/>
                <w:webHidden/>
                <w:sz w:val="24"/>
                <w:szCs w:val="24"/>
              </w:rPr>
              <w:fldChar w:fldCharType="begin"/>
            </w:r>
            <w:r w:rsidR="00E539FE" w:rsidRPr="00E539FE">
              <w:rPr>
                <w:b w:val="0"/>
                <w:noProof/>
                <w:webHidden/>
                <w:sz w:val="24"/>
                <w:szCs w:val="24"/>
              </w:rPr>
              <w:instrText xml:space="preserve"> PAGEREF _Toc80177693 \h </w:instrText>
            </w:r>
            <w:r w:rsidRPr="00E539FE">
              <w:rPr>
                <w:b w:val="0"/>
                <w:noProof/>
                <w:webHidden/>
                <w:sz w:val="24"/>
                <w:szCs w:val="24"/>
              </w:rPr>
            </w:r>
            <w:r w:rsidRPr="00E539FE">
              <w:rPr>
                <w:b w:val="0"/>
                <w:noProof/>
                <w:webHidden/>
                <w:sz w:val="24"/>
                <w:szCs w:val="24"/>
              </w:rPr>
              <w:fldChar w:fldCharType="separate"/>
            </w:r>
            <w:r w:rsidR="00E539FE" w:rsidRPr="00E539FE">
              <w:rPr>
                <w:b w:val="0"/>
                <w:noProof/>
                <w:webHidden/>
                <w:sz w:val="24"/>
                <w:szCs w:val="24"/>
              </w:rPr>
              <w:t>16</w:t>
            </w:r>
            <w:r w:rsidRPr="00E539FE">
              <w:rPr>
                <w:b w:val="0"/>
                <w:noProof/>
                <w:webHidden/>
                <w:sz w:val="24"/>
                <w:szCs w:val="24"/>
              </w:rPr>
              <w:fldChar w:fldCharType="end"/>
            </w:r>
          </w:hyperlink>
        </w:p>
        <w:p w:rsidR="00E539FE" w:rsidRPr="00E539FE" w:rsidRDefault="00D87D43" w:rsidP="00E539FE">
          <w:pPr>
            <w:pStyle w:val="TDC1"/>
            <w:tabs>
              <w:tab w:val="left" w:pos="880"/>
              <w:tab w:val="right" w:leader="dot" w:pos="9350"/>
            </w:tabs>
            <w:spacing w:after="0" w:line="360" w:lineRule="auto"/>
            <w:rPr>
              <w:rFonts w:eastAsiaTheme="minorEastAsia"/>
              <w:b w:val="0"/>
              <w:noProof/>
              <w:sz w:val="24"/>
              <w:szCs w:val="24"/>
              <w:lang w:val="en-US"/>
            </w:rPr>
          </w:pPr>
          <w:hyperlink w:anchor="_Toc80177694" w:history="1">
            <w:r w:rsidR="00E539FE" w:rsidRPr="00E539FE">
              <w:rPr>
                <w:rStyle w:val="Hipervnculo"/>
                <w:b w:val="0"/>
                <w:noProof/>
                <w:sz w:val="24"/>
                <w:szCs w:val="24"/>
              </w:rPr>
              <w:t>3.1.</w:t>
            </w:r>
            <w:r w:rsidR="00E539FE" w:rsidRPr="00E539FE">
              <w:rPr>
                <w:rFonts w:eastAsiaTheme="minorEastAsia"/>
                <w:b w:val="0"/>
                <w:noProof/>
                <w:sz w:val="24"/>
                <w:szCs w:val="24"/>
                <w:lang w:val="en-US"/>
              </w:rPr>
              <w:tab/>
            </w:r>
            <w:r w:rsidR="00E539FE" w:rsidRPr="00E539FE">
              <w:rPr>
                <w:rStyle w:val="Hipervnculo"/>
                <w:b w:val="0"/>
                <w:noProof/>
                <w:sz w:val="24"/>
                <w:szCs w:val="24"/>
              </w:rPr>
              <w:t>Vinculación con los Objetivos de Desarrollo Sostenible 2030 (ODS 2030)</w:t>
            </w:r>
            <w:r w:rsidR="00E539FE" w:rsidRPr="00E539FE">
              <w:rPr>
                <w:b w:val="0"/>
                <w:noProof/>
                <w:webHidden/>
                <w:sz w:val="24"/>
                <w:szCs w:val="24"/>
              </w:rPr>
              <w:tab/>
            </w:r>
            <w:r w:rsidRPr="00E539FE">
              <w:rPr>
                <w:b w:val="0"/>
                <w:noProof/>
                <w:webHidden/>
                <w:sz w:val="24"/>
                <w:szCs w:val="24"/>
              </w:rPr>
              <w:fldChar w:fldCharType="begin"/>
            </w:r>
            <w:r w:rsidR="00E539FE" w:rsidRPr="00E539FE">
              <w:rPr>
                <w:b w:val="0"/>
                <w:noProof/>
                <w:webHidden/>
                <w:sz w:val="24"/>
                <w:szCs w:val="24"/>
              </w:rPr>
              <w:instrText xml:space="preserve"> PAGEREF _Toc80177694 \h </w:instrText>
            </w:r>
            <w:r w:rsidRPr="00E539FE">
              <w:rPr>
                <w:b w:val="0"/>
                <w:noProof/>
                <w:webHidden/>
                <w:sz w:val="24"/>
                <w:szCs w:val="24"/>
              </w:rPr>
            </w:r>
            <w:r w:rsidRPr="00E539FE">
              <w:rPr>
                <w:b w:val="0"/>
                <w:noProof/>
                <w:webHidden/>
                <w:sz w:val="24"/>
                <w:szCs w:val="24"/>
              </w:rPr>
              <w:fldChar w:fldCharType="separate"/>
            </w:r>
            <w:r w:rsidR="00E539FE" w:rsidRPr="00E539FE">
              <w:rPr>
                <w:b w:val="0"/>
                <w:noProof/>
                <w:webHidden/>
                <w:sz w:val="24"/>
                <w:szCs w:val="24"/>
              </w:rPr>
              <w:t>16</w:t>
            </w:r>
            <w:r w:rsidRPr="00E539FE">
              <w:rPr>
                <w:b w:val="0"/>
                <w:noProof/>
                <w:webHidden/>
                <w:sz w:val="24"/>
                <w:szCs w:val="24"/>
              </w:rPr>
              <w:fldChar w:fldCharType="end"/>
            </w:r>
          </w:hyperlink>
        </w:p>
        <w:p w:rsidR="00E539FE" w:rsidRPr="00E539FE" w:rsidRDefault="00D87D43" w:rsidP="00E539FE">
          <w:pPr>
            <w:pStyle w:val="TDC1"/>
            <w:tabs>
              <w:tab w:val="left" w:pos="880"/>
              <w:tab w:val="right" w:leader="dot" w:pos="9350"/>
            </w:tabs>
            <w:spacing w:after="0" w:line="360" w:lineRule="auto"/>
            <w:rPr>
              <w:rFonts w:eastAsiaTheme="minorEastAsia"/>
              <w:b w:val="0"/>
              <w:noProof/>
              <w:sz w:val="24"/>
              <w:szCs w:val="24"/>
              <w:lang w:val="en-US"/>
            </w:rPr>
          </w:pPr>
          <w:hyperlink w:anchor="_Toc80177695" w:history="1">
            <w:r w:rsidR="00E539FE" w:rsidRPr="00E539FE">
              <w:rPr>
                <w:rStyle w:val="Hipervnculo"/>
                <w:b w:val="0"/>
                <w:noProof/>
                <w:sz w:val="24"/>
                <w:szCs w:val="24"/>
              </w:rPr>
              <w:t>3.2.</w:t>
            </w:r>
            <w:r w:rsidR="00E539FE" w:rsidRPr="00E539FE">
              <w:rPr>
                <w:rFonts w:eastAsiaTheme="minorEastAsia"/>
                <w:b w:val="0"/>
                <w:noProof/>
                <w:sz w:val="24"/>
                <w:szCs w:val="24"/>
                <w:lang w:val="en-US"/>
              </w:rPr>
              <w:tab/>
            </w:r>
            <w:r w:rsidR="00E539FE" w:rsidRPr="00E539FE">
              <w:rPr>
                <w:rStyle w:val="Hipervnculo"/>
                <w:b w:val="0"/>
                <w:noProof/>
                <w:sz w:val="24"/>
                <w:szCs w:val="24"/>
              </w:rPr>
              <w:t>Vinculación con la Estrategia Nacional de Desarrollo 2030 (END 2030)</w:t>
            </w:r>
            <w:r w:rsidR="00E539FE" w:rsidRPr="00E539FE">
              <w:rPr>
                <w:b w:val="0"/>
                <w:noProof/>
                <w:webHidden/>
                <w:sz w:val="24"/>
                <w:szCs w:val="24"/>
              </w:rPr>
              <w:tab/>
            </w:r>
            <w:r w:rsidRPr="00E539FE">
              <w:rPr>
                <w:b w:val="0"/>
                <w:noProof/>
                <w:webHidden/>
                <w:sz w:val="24"/>
                <w:szCs w:val="24"/>
              </w:rPr>
              <w:fldChar w:fldCharType="begin"/>
            </w:r>
            <w:r w:rsidR="00E539FE" w:rsidRPr="00E539FE">
              <w:rPr>
                <w:b w:val="0"/>
                <w:noProof/>
                <w:webHidden/>
                <w:sz w:val="24"/>
                <w:szCs w:val="24"/>
              </w:rPr>
              <w:instrText xml:space="preserve"> PAGEREF _Toc80177695 \h </w:instrText>
            </w:r>
            <w:r w:rsidRPr="00E539FE">
              <w:rPr>
                <w:b w:val="0"/>
                <w:noProof/>
                <w:webHidden/>
                <w:sz w:val="24"/>
                <w:szCs w:val="24"/>
              </w:rPr>
            </w:r>
            <w:r w:rsidRPr="00E539FE">
              <w:rPr>
                <w:b w:val="0"/>
                <w:noProof/>
                <w:webHidden/>
                <w:sz w:val="24"/>
                <w:szCs w:val="24"/>
              </w:rPr>
              <w:fldChar w:fldCharType="separate"/>
            </w:r>
            <w:r w:rsidR="00E539FE" w:rsidRPr="00E539FE">
              <w:rPr>
                <w:b w:val="0"/>
                <w:noProof/>
                <w:webHidden/>
                <w:sz w:val="24"/>
                <w:szCs w:val="24"/>
              </w:rPr>
              <w:t>17</w:t>
            </w:r>
            <w:r w:rsidRPr="00E539FE">
              <w:rPr>
                <w:b w:val="0"/>
                <w:noProof/>
                <w:webHidden/>
                <w:sz w:val="24"/>
                <w:szCs w:val="24"/>
              </w:rPr>
              <w:fldChar w:fldCharType="end"/>
            </w:r>
          </w:hyperlink>
        </w:p>
        <w:p w:rsidR="00E539FE" w:rsidRPr="00E539FE" w:rsidRDefault="00D87D43" w:rsidP="00E539FE">
          <w:pPr>
            <w:pStyle w:val="TDC1"/>
            <w:tabs>
              <w:tab w:val="left" w:pos="880"/>
              <w:tab w:val="right" w:leader="dot" w:pos="9350"/>
            </w:tabs>
            <w:spacing w:after="0" w:line="360" w:lineRule="auto"/>
            <w:rPr>
              <w:rFonts w:eastAsiaTheme="minorEastAsia"/>
              <w:b w:val="0"/>
              <w:noProof/>
              <w:sz w:val="24"/>
              <w:szCs w:val="24"/>
              <w:lang w:val="en-US"/>
            </w:rPr>
          </w:pPr>
          <w:hyperlink w:anchor="_Toc80177696" w:history="1">
            <w:r w:rsidR="00E539FE" w:rsidRPr="00E539FE">
              <w:rPr>
                <w:rStyle w:val="Hipervnculo"/>
                <w:b w:val="0"/>
                <w:noProof/>
                <w:sz w:val="24"/>
                <w:szCs w:val="24"/>
              </w:rPr>
              <w:t>3.3.</w:t>
            </w:r>
            <w:r w:rsidR="00E539FE" w:rsidRPr="00E539FE">
              <w:rPr>
                <w:rFonts w:eastAsiaTheme="minorEastAsia"/>
                <w:b w:val="0"/>
                <w:noProof/>
                <w:sz w:val="24"/>
                <w:szCs w:val="24"/>
                <w:lang w:val="en-US"/>
              </w:rPr>
              <w:tab/>
            </w:r>
            <w:r w:rsidR="00E539FE" w:rsidRPr="00E539FE">
              <w:rPr>
                <w:rStyle w:val="Hipervnculo"/>
                <w:b w:val="0"/>
                <w:noProof/>
                <w:sz w:val="24"/>
                <w:szCs w:val="24"/>
              </w:rPr>
              <w:t>Vinculación con el Plan Nacional Plurianual del Sector Público 2020-2024 (PNPSP 2024)</w:t>
            </w:r>
            <w:r w:rsidR="00E539FE" w:rsidRPr="00E539FE">
              <w:rPr>
                <w:b w:val="0"/>
                <w:noProof/>
                <w:webHidden/>
                <w:sz w:val="24"/>
                <w:szCs w:val="24"/>
              </w:rPr>
              <w:tab/>
            </w:r>
            <w:r w:rsidR="008F5909">
              <w:rPr>
                <w:b w:val="0"/>
                <w:noProof/>
                <w:webHidden/>
                <w:sz w:val="24"/>
                <w:szCs w:val="24"/>
              </w:rPr>
              <w:tab/>
            </w:r>
            <w:r w:rsidRPr="00E539FE">
              <w:rPr>
                <w:b w:val="0"/>
                <w:noProof/>
                <w:webHidden/>
                <w:sz w:val="24"/>
                <w:szCs w:val="24"/>
              </w:rPr>
              <w:fldChar w:fldCharType="begin"/>
            </w:r>
            <w:r w:rsidR="00E539FE" w:rsidRPr="00E539FE">
              <w:rPr>
                <w:b w:val="0"/>
                <w:noProof/>
                <w:webHidden/>
                <w:sz w:val="24"/>
                <w:szCs w:val="24"/>
              </w:rPr>
              <w:instrText xml:space="preserve"> PAGEREF _Toc80177696 \h </w:instrText>
            </w:r>
            <w:r w:rsidRPr="00E539FE">
              <w:rPr>
                <w:b w:val="0"/>
                <w:noProof/>
                <w:webHidden/>
                <w:sz w:val="24"/>
                <w:szCs w:val="24"/>
              </w:rPr>
            </w:r>
            <w:r w:rsidRPr="00E539FE">
              <w:rPr>
                <w:b w:val="0"/>
                <w:noProof/>
                <w:webHidden/>
                <w:sz w:val="24"/>
                <w:szCs w:val="24"/>
              </w:rPr>
              <w:fldChar w:fldCharType="separate"/>
            </w:r>
            <w:r w:rsidR="00E539FE" w:rsidRPr="00E539FE">
              <w:rPr>
                <w:b w:val="0"/>
                <w:noProof/>
                <w:webHidden/>
                <w:sz w:val="24"/>
                <w:szCs w:val="24"/>
              </w:rPr>
              <w:t>21</w:t>
            </w:r>
            <w:r w:rsidRPr="00E539FE">
              <w:rPr>
                <w:b w:val="0"/>
                <w:noProof/>
                <w:webHidden/>
                <w:sz w:val="24"/>
                <w:szCs w:val="24"/>
              </w:rPr>
              <w:fldChar w:fldCharType="end"/>
            </w:r>
          </w:hyperlink>
        </w:p>
        <w:p w:rsidR="00E539FE" w:rsidRPr="00E539FE" w:rsidRDefault="00D87D43" w:rsidP="00E539FE">
          <w:pPr>
            <w:pStyle w:val="TDC1"/>
            <w:tabs>
              <w:tab w:val="left" w:pos="660"/>
              <w:tab w:val="right" w:leader="dot" w:pos="9350"/>
            </w:tabs>
            <w:spacing w:after="0" w:line="360" w:lineRule="auto"/>
            <w:rPr>
              <w:rFonts w:eastAsiaTheme="minorEastAsia"/>
              <w:b w:val="0"/>
              <w:noProof/>
              <w:sz w:val="24"/>
              <w:szCs w:val="24"/>
              <w:lang w:val="en-US"/>
            </w:rPr>
          </w:pPr>
          <w:hyperlink w:anchor="_Toc80177697" w:history="1">
            <w:r w:rsidR="00E539FE" w:rsidRPr="00E539FE">
              <w:rPr>
                <w:rStyle w:val="Hipervnculo"/>
                <w:b w:val="0"/>
                <w:noProof/>
                <w:sz w:val="24"/>
                <w:szCs w:val="24"/>
              </w:rPr>
              <w:t>4.</w:t>
            </w:r>
            <w:r w:rsidR="00E539FE" w:rsidRPr="00E539FE">
              <w:rPr>
                <w:rFonts w:eastAsiaTheme="minorEastAsia"/>
                <w:b w:val="0"/>
                <w:noProof/>
                <w:sz w:val="24"/>
                <w:szCs w:val="24"/>
                <w:lang w:val="en-US"/>
              </w:rPr>
              <w:tab/>
            </w:r>
            <w:r w:rsidR="00E539FE" w:rsidRPr="00E539FE">
              <w:rPr>
                <w:rStyle w:val="Hipervnculo"/>
                <w:b w:val="0"/>
                <w:noProof/>
                <w:sz w:val="24"/>
                <w:szCs w:val="24"/>
              </w:rPr>
              <w:t>MARCO FILOSÓFICO</w:t>
            </w:r>
            <w:r w:rsidR="00E539FE" w:rsidRPr="00E539FE">
              <w:rPr>
                <w:b w:val="0"/>
                <w:noProof/>
                <w:webHidden/>
                <w:sz w:val="24"/>
                <w:szCs w:val="24"/>
              </w:rPr>
              <w:tab/>
            </w:r>
            <w:r w:rsidRPr="00E539FE">
              <w:rPr>
                <w:b w:val="0"/>
                <w:noProof/>
                <w:webHidden/>
                <w:sz w:val="24"/>
                <w:szCs w:val="24"/>
              </w:rPr>
              <w:fldChar w:fldCharType="begin"/>
            </w:r>
            <w:r w:rsidR="00E539FE" w:rsidRPr="00E539FE">
              <w:rPr>
                <w:b w:val="0"/>
                <w:noProof/>
                <w:webHidden/>
                <w:sz w:val="24"/>
                <w:szCs w:val="24"/>
              </w:rPr>
              <w:instrText xml:space="preserve"> PAGEREF _Toc80177697 \h </w:instrText>
            </w:r>
            <w:r w:rsidRPr="00E539FE">
              <w:rPr>
                <w:b w:val="0"/>
                <w:noProof/>
                <w:webHidden/>
                <w:sz w:val="24"/>
                <w:szCs w:val="24"/>
              </w:rPr>
            </w:r>
            <w:r w:rsidRPr="00E539FE">
              <w:rPr>
                <w:b w:val="0"/>
                <w:noProof/>
                <w:webHidden/>
                <w:sz w:val="24"/>
                <w:szCs w:val="24"/>
              </w:rPr>
              <w:fldChar w:fldCharType="separate"/>
            </w:r>
            <w:r w:rsidR="00E539FE" w:rsidRPr="00E539FE">
              <w:rPr>
                <w:b w:val="0"/>
                <w:noProof/>
                <w:webHidden/>
                <w:sz w:val="24"/>
                <w:szCs w:val="24"/>
              </w:rPr>
              <w:t>22</w:t>
            </w:r>
            <w:r w:rsidRPr="00E539FE">
              <w:rPr>
                <w:b w:val="0"/>
                <w:noProof/>
                <w:webHidden/>
                <w:sz w:val="24"/>
                <w:szCs w:val="24"/>
              </w:rPr>
              <w:fldChar w:fldCharType="end"/>
            </w:r>
          </w:hyperlink>
        </w:p>
        <w:p w:rsidR="00E539FE" w:rsidRPr="00E539FE" w:rsidRDefault="00D87D43" w:rsidP="00E539FE">
          <w:pPr>
            <w:pStyle w:val="TDC1"/>
            <w:tabs>
              <w:tab w:val="left" w:pos="880"/>
              <w:tab w:val="right" w:leader="dot" w:pos="9350"/>
            </w:tabs>
            <w:spacing w:after="0" w:line="360" w:lineRule="auto"/>
            <w:rPr>
              <w:rFonts w:eastAsiaTheme="minorEastAsia"/>
              <w:b w:val="0"/>
              <w:noProof/>
              <w:sz w:val="24"/>
              <w:szCs w:val="24"/>
              <w:lang w:val="en-US"/>
            </w:rPr>
          </w:pPr>
          <w:hyperlink w:anchor="_Toc80177698" w:history="1">
            <w:r w:rsidR="00E539FE" w:rsidRPr="00E539FE">
              <w:rPr>
                <w:rStyle w:val="Hipervnculo"/>
                <w:b w:val="0"/>
                <w:noProof/>
                <w:sz w:val="24"/>
                <w:szCs w:val="24"/>
              </w:rPr>
              <w:t>4.1.</w:t>
            </w:r>
            <w:r w:rsidR="00E539FE" w:rsidRPr="00E539FE">
              <w:rPr>
                <w:rFonts w:eastAsiaTheme="minorEastAsia"/>
                <w:b w:val="0"/>
                <w:noProof/>
                <w:sz w:val="24"/>
                <w:szCs w:val="24"/>
                <w:lang w:val="en-US"/>
              </w:rPr>
              <w:tab/>
            </w:r>
            <w:r w:rsidR="00E539FE" w:rsidRPr="00E539FE">
              <w:rPr>
                <w:rStyle w:val="Hipervnculo"/>
                <w:b w:val="0"/>
                <w:noProof/>
                <w:sz w:val="24"/>
                <w:szCs w:val="24"/>
              </w:rPr>
              <w:t>Misión</w:t>
            </w:r>
            <w:r w:rsidR="00E539FE" w:rsidRPr="00E539FE">
              <w:rPr>
                <w:b w:val="0"/>
                <w:noProof/>
                <w:webHidden/>
                <w:sz w:val="24"/>
                <w:szCs w:val="24"/>
              </w:rPr>
              <w:tab/>
            </w:r>
            <w:r w:rsidRPr="00E539FE">
              <w:rPr>
                <w:b w:val="0"/>
                <w:noProof/>
                <w:webHidden/>
                <w:sz w:val="24"/>
                <w:szCs w:val="24"/>
              </w:rPr>
              <w:fldChar w:fldCharType="begin"/>
            </w:r>
            <w:r w:rsidR="00E539FE" w:rsidRPr="00E539FE">
              <w:rPr>
                <w:b w:val="0"/>
                <w:noProof/>
                <w:webHidden/>
                <w:sz w:val="24"/>
                <w:szCs w:val="24"/>
              </w:rPr>
              <w:instrText xml:space="preserve"> PAGEREF _Toc80177698 \h </w:instrText>
            </w:r>
            <w:r w:rsidRPr="00E539FE">
              <w:rPr>
                <w:b w:val="0"/>
                <w:noProof/>
                <w:webHidden/>
                <w:sz w:val="24"/>
                <w:szCs w:val="24"/>
              </w:rPr>
            </w:r>
            <w:r w:rsidRPr="00E539FE">
              <w:rPr>
                <w:b w:val="0"/>
                <w:noProof/>
                <w:webHidden/>
                <w:sz w:val="24"/>
                <w:szCs w:val="24"/>
              </w:rPr>
              <w:fldChar w:fldCharType="separate"/>
            </w:r>
            <w:r w:rsidR="00E539FE" w:rsidRPr="00E539FE">
              <w:rPr>
                <w:b w:val="0"/>
                <w:noProof/>
                <w:webHidden/>
                <w:sz w:val="24"/>
                <w:szCs w:val="24"/>
              </w:rPr>
              <w:t>22</w:t>
            </w:r>
            <w:r w:rsidRPr="00E539FE">
              <w:rPr>
                <w:b w:val="0"/>
                <w:noProof/>
                <w:webHidden/>
                <w:sz w:val="24"/>
                <w:szCs w:val="24"/>
              </w:rPr>
              <w:fldChar w:fldCharType="end"/>
            </w:r>
          </w:hyperlink>
        </w:p>
        <w:p w:rsidR="00E539FE" w:rsidRPr="00E539FE" w:rsidRDefault="00D87D43" w:rsidP="00E539FE">
          <w:pPr>
            <w:pStyle w:val="TDC1"/>
            <w:tabs>
              <w:tab w:val="left" w:pos="880"/>
              <w:tab w:val="right" w:leader="dot" w:pos="9350"/>
            </w:tabs>
            <w:spacing w:after="0" w:line="360" w:lineRule="auto"/>
            <w:rPr>
              <w:rFonts w:eastAsiaTheme="minorEastAsia"/>
              <w:b w:val="0"/>
              <w:noProof/>
              <w:sz w:val="24"/>
              <w:szCs w:val="24"/>
              <w:lang w:val="en-US"/>
            </w:rPr>
          </w:pPr>
          <w:hyperlink w:anchor="_Toc80177699" w:history="1">
            <w:r w:rsidR="00E539FE" w:rsidRPr="00E539FE">
              <w:rPr>
                <w:rStyle w:val="Hipervnculo"/>
                <w:b w:val="0"/>
                <w:noProof/>
                <w:sz w:val="24"/>
                <w:szCs w:val="24"/>
              </w:rPr>
              <w:t>4.2.</w:t>
            </w:r>
            <w:r w:rsidR="00E539FE" w:rsidRPr="00E539FE">
              <w:rPr>
                <w:rFonts w:eastAsiaTheme="minorEastAsia"/>
                <w:b w:val="0"/>
                <w:noProof/>
                <w:sz w:val="24"/>
                <w:szCs w:val="24"/>
                <w:lang w:val="en-US"/>
              </w:rPr>
              <w:tab/>
            </w:r>
            <w:r w:rsidR="00E539FE" w:rsidRPr="00E539FE">
              <w:rPr>
                <w:rStyle w:val="Hipervnculo"/>
                <w:b w:val="0"/>
                <w:noProof/>
                <w:sz w:val="24"/>
                <w:szCs w:val="24"/>
              </w:rPr>
              <w:t>Visión 2024</w:t>
            </w:r>
            <w:r w:rsidR="00E539FE" w:rsidRPr="00E539FE">
              <w:rPr>
                <w:b w:val="0"/>
                <w:noProof/>
                <w:webHidden/>
                <w:sz w:val="24"/>
                <w:szCs w:val="24"/>
              </w:rPr>
              <w:tab/>
            </w:r>
            <w:r w:rsidRPr="00E539FE">
              <w:rPr>
                <w:b w:val="0"/>
                <w:noProof/>
                <w:webHidden/>
                <w:sz w:val="24"/>
                <w:szCs w:val="24"/>
              </w:rPr>
              <w:fldChar w:fldCharType="begin"/>
            </w:r>
            <w:r w:rsidR="00E539FE" w:rsidRPr="00E539FE">
              <w:rPr>
                <w:b w:val="0"/>
                <w:noProof/>
                <w:webHidden/>
                <w:sz w:val="24"/>
                <w:szCs w:val="24"/>
              </w:rPr>
              <w:instrText xml:space="preserve"> PAGEREF _Toc80177699 \h </w:instrText>
            </w:r>
            <w:r w:rsidRPr="00E539FE">
              <w:rPr>
                <w:b w:val="0"/>
                <w:noProof/>
                <w:webHidden/>
                <w:sz w:val="24"/>
                <w:szCs w:val="24"/>
              </w:rPr>
            </w:r>
            <w:r w:rsidRPr="00E539FE">
              <w:rPr>
                <w:b w:val="0"/>
                <w:noProof/>
                <w:webHidden/>
                <w:sz w:val="24"/>
                <w:szCs w:val="24"/>
              </w:rPr>
              <w:fldChar w:fldCharType="separate"/>
            </w:r>
            <w:r w:rsidR="00E539FE" w:rsidRPr="00E539FE">
              <w:rPr>
                <w:b w:val="0"/>
                <w:noProof/>
                <w:webHidden/>
                <w:sz w:val="24"/>
                <w:szCs w:val="24"/>
              </w:rPr>
              <w:t>22</w:t>
            </w:r>
            <w:r w:rsidRPr="00E539FE">
              <w:rPr>
                <w:b w:val="0"/>
                <w:noProof/>
                <w:webHidden/>
                <w:sz w:val="24"/>
                <w:szCs w:val="24"/>
              </w:rPr>
              <w:fldChar w:fldCharType="end"/>
            </w:r>
          </w:hyperlink>
        </w:p>
        <w:p w:rsidR="00E539FE" w:rsidRPr="00E539FE" w:rsidRDefault="00D87D43" w:rsidP="00E539FE">
          <w:pPr>
            <w:pStyle w:val="TDC1"/>
            <w:tabs>
              <w:tab w:val="left" w:pos="880"/>
              <w:tab w:val="right" w:leader="dot" w:pos="9350"/>
            </w:tabs>
            <w:spacing w:after="0" w:line="360" w:lineRule="auto"/>
            <w:rPr>
              <w:rFonts w:eastAsiaTheme="minorEastAsia"/>
              <w:b w:val="0"/>
              <w:noProof/>
              <w:sz w:val="24"/>
              <w:szCs w:val="24"/>
              <w:lang w:val="en-US"/>
            </w:rPr>
          </w:pPr>
          <w:hyperlink w:anchor="_Toc80177700" w:history="1">
            <w:r w:rsidR="00E539FE" w:rsidRPr="00E539FE">
              <w:rPr>
                <w:rStyle w:val="Hipervnculo"/>
                <w:b w:val="0"/>
                <w:noProof/>
                <w:sz w:val="24"/>
                <w:szCs w:val="24"/>
              </w:rPr>
              <w:t>4.3.</w:t>
            </w:r>
            <w:r w:rsidR="00E539FE" w:rsidRPr="00E539FE">
              <w:rPr>
                <w:rFonts w:eastAsiaTheme="minorEastAsia"/>
                <w:b w:val="0"/>
                <w:noProof/>
                <w:sz w:val="24"/>
                <w:szCs w:val="24"/>
                <w:lang w:val="en-US"/>
              </w:rPr>
              <w:tab/>
            </w:r>
            <w:r w:rsidR="00E539FE" w:rsidRPr="00E539FE">
              <w:rPr>
                <w:rStyle w:val="Hipervnculo"/>
                <w:b w:val="0"/>
                <w:noProof/>
                <w:sz w:val="24"/>
                <w:szCs w:val="24"/>
              </w:rPr>
              <w:t>Valores</w:t>
            </w:r>
            <w:r w:rsidR="00E539FE" w:rsidRPr="00E539FE">
              <w:rPr>
                <w:b w:val="0"/>
                <w:noProof/>
                <w:webHidden/>
                <w:sz w:val="24"/>
                <w:szCs w:val="24"/>
              </w:rPr>
              <w:tab/>
            </w:r>
            <w:r w:rsidRPr="00E539FE">
              <w:rPr>
                <w:b w:val="0"/>
                <w:noProof/>
                <w:webHidden/>
                <w:sz w:val="24"/>
                <w:szCs w:val="24"/>
              </w:rPr>
              <w:fldChar w:fldCharType="begin"/>
            </w:r>
            <w:r w:rsidR="00E539FE" w:rsidRPr="00E539FE">
              <w:rPr>
                <w:b w:val="0"/>
                <w:noProof/>
                <w:webHidden/>
                <w:sz w:val="24"/>
                <w:szCs w:val="24"/>
              </w:rPr>
              <w:instrText xml:space="preserve"> PAGEREF _Toc80177700 \h </w:instrText>
            </w:r>
            <w:r w:rsidRPr="00E539FE">
              <w:rPr>
                <w:b w:val="0"/>
                <w:noProof/>
                <w:webHidden/>
                <w:sz w:val="24"/>
                <w:szCs w:val="24"/>
              </w:rPr>
            </w:r>
            <w:r w:rsidRPr="00E539FE">
              <w:rPr>
                <w:b w:val="0"/>
                <w:noProof/>
                <w:webHidden/>
                <w:sz w:val="24"/>
                <w:szCs w:val="24"/>
              </w:rPr>
              <w:fldChar w:fldCharType="separate"/>
            </w:r>
            <w:r w:rsidR="00E539FE" w:rsidRPr="00E539FE">
              <w:rPr>
                <w:b w:val="0"/>
                <w:noProof/>
                <w:webHidden/>
                <w:sz w:val="24"/>
                <w:szCs w:val="24"/>
              </w:rPr>
              <w:t>22</w:t>
            </w:r>
            <w:r w:rsidRPr="00E539FE">
              <w:rPr>
                <w:b w:val="0"/>
                <w:noProof/>
                <w:webHidden/>
                <w:sz w:val="24"/>
                <w:szCs w:val="24"/>
              </w:rPr>
              <w:fldChar w:fldCharType="end"/>
            </w:r>
          </w:hyperlink>
        </w:p>
        <w:p w:rsidR="00E539FE" w:rsidRPr="00E539FE" w:rsidRDefault="00D87D43" w:rsidP="00E539FE">
          <w:pPr>
            <w:pStyle w:val="TDC1"/>
            <w:tabs>
              <w:tab w:val="left" w:pos="660"/>
              <w:tab w:val="right" w:leader="dot" w:pos="9350"/>
            </w:tabs>
            <w:spacing w:after="0" w:line="360" w:lineRule="auto"/>
            <w:rPr>
              <w:rFonts w:eastAsiaTheme="minorEastAsia"/>
              <w:b w:val="0"/>
              <w:noProof/>
              <w:sz w:val="24"/>
              <w:szCs w:val="24"/>
              <w:lang w:val="en-US"/>
            </w:rPr>
          </w:pPr>
          <w:hyperlink w:anchor="_Toc80177701" w:history="1">
            <w:r w:rsidR="00E539FE" w:rsidRPr="00E539FE">
              <w:rPr>
                <w:rStyle w:val="Hipervnculo"/>
                <w:b w:val="0"/>
                <w:noProof/>
                <w:sz w:val="24"/>
                <w:szCs w:val="24"/>
              </w:rPr>
              <w:t>5.</w:t>
            </w:r>
            <w:r w:rsidR="00E539FE" w:rsidRPr="00E539FE">
              <w:rPr>
                <w:rFonts w:eastAsiaTheme="minorEastAsia"/>
                <w:b w:val="0"/>
                <w:noProof/>
                <w:sz w:val="24"/>
                <w:szCs w:val="24"/>
                <w:lang w:val="en-US"/>
              </w:rPr>
              <w:tab/>
            </w:r>
            <w:r w:rsidR="00E539FE" w:rsidRPr="00E539FE">
              <w:rPr>
                <w:rStyle w:val="Hipervnculo"/>
                <w:b w:val="0"/>
                <w:noProof/>
                <w:sz w:val="24"/>
                <w:szCs w:val="24"/>
              </w:rPr>
              <w:t>MARCO ESTRATÉGICO 2024</w:t>
            </w:r>
            <w:r w:rsidR="00E539FE" w:rsidRPr="00E539FE">
              <w:rPr>
                <w:b w:val="0"/>
                <w:noProof/>
                <w:webHidden/>
                <w:sz w:val="24"/>
                <w:szCs w:val="24"/>
              </w:rPr>
              <w:tab/>
            </w:r>
            <w:r w:rsidRPr="00E539FE">
              <w:rPr>
                <w:b w:val="0"/>
                <w:noProof/>
                <w:webHidden/>
                <w:sz w:val="24"/>
                <w:szCs w:val="24"/>
              </w:rPr>
              <w:fldChar w:fldCharType="begin"/>
            </w:r>
            <w:r w:rsidR="00E539FE" w:rsidRPr="00E539FE">
              <w:rPr>
                <w:b w:val="0"/>
                <w:noProof/>
                <w:webHidden/>
                <w:sz w:val="24"/>
                <w:szCs w:val="24"/>
              </w:rPr>
              <w:instrText xml:space="preserve"> PAGEREF _Toc80177701 \h </w:instrText>
            </w:r>
            <w:r w:rsidRPr="00E539FE">
              <w:rPr>
                <w:b w:val="0"/>
                <w:noProof/>
                <w:webHidden/>
                <w:sz w:val="24"/>
                <w:szCs w:val="24"/>
              </w:rPr>
            </w:r>
            <w:r w:rsidRPr="00E539FE">
              <w:rPr>
                <w:b w:val="0"/>
                <w:noProof/>
                <w:webHidden/>
                <w:sz w:val="24"/>
                <w:szCs w:val="24"/>
              </w:rPr>
              <w:fldChar w:fldCharType="separate"/>
            </w:r>
            <w:r w:rsidR="00E539FE" w:rsidRPr="00E539FE">
              <w:rPr>
                <w:b w:val="0"/>
                <w:noProof/>
                <w:webHidden/>
                <w:sz w:val="24"/>
                <w:szCs w:val="24"/>
              </w:rPr>
              <w:t>24</w:t>
            </w:r>
            <w:r w:rsidRPr="00E539FE">
              <w:rPr>
                <w:b w:val="0"/>
                <w:noProof/>
                <w:webHidden/>
                <w:sz w:val="24"/>
                <w:szCs w:val="24"/>
              </w:rPr>
              <w:fldChar w:fldCharType="end"/>
            </w:r>
          </w:hyperlink>
        </w:p>
        <w:p w:rsidR="00E539FE" w:rsidRPr="00E539FE" w:rsidRDefault="00D87D43" w:rsidP="00E539FE">
          <w:pPr>
            <w:pStyle w:val="TDC1"/>
            <w:tabs>
              <w:tab w:val="left" w:pos="880"/>
              <w:tab w:val="right" w:leader="dot" w:pos="9350"/>
            </w:tabs>
            <w:spacing w:after="0" w:line="360" w:lineRule="auto"/>
            <w:rPr>
              <w:rFonts w:eastAsiaTheme="minorEastAsia"/>
              <w:b w:val="0"/>
              <w:noProof/>
              <w:sz w:val="24"/>
              <w:szCs w:val="24"/>
              <w:lang w:val="en-US"/>
            </w:rPr>
          </w:pPr>
          <w:hyperlink w:anchor="_Toc80177702" w:history="1">
            <w:r w:rsidR="00E539FE" w:rsidRPr="00E539FE">
              <w:rPr>
                <w:rStyle w:val="Hipervnculo"/>
                <w:b w:val="0"/>
                <w:noProof/>
                <w:sz w:val="24"/>
                <w:szCs w:val="24"/>
              </w:rPr>
              <w:t>5.1.</w:t>
            </w:r>
            <w:r w:rsidR="00E539FE" w:rsidRPr="00E539FE">
              <w:rPr>
                <w:rFonts w:eastAsiaTheme="minorEastAsia"/>
                <w:b w:val="0"/>
                <w:noProof/>
                <w:sz w:val="24"/>
                <w:szCs w:val="24"/>
                <w:lang w:val="en-US"/>
              </w:rPr>
              <w:tab/>
            </w:r>
            <w:r w:rsidR="00E539FE" w:rsidRPr="00E539FE">
              <w:rPr>
                <w:rStyle w:val="Hipervnculo"/>
                <w:b w:val="0"/>
                <w:noProof/>
                <w:sz w:val="24"/>
                <w:szCs w:val="24"/>
              </w:rPr>
              <w:t>Ejes Estratégicos</w:t>
            </w:r>
            <w:r w:rsidR="00E539FE" w:rsidRPr="00E539FE">
              <w:rPr>
                <w:b w:val="0"/>
                <w:noProof/>
                <w:webHidden/>
                <w:sz w:val="24"/>
                <w:szCs w:val="24"/>
              </w:rPr>
              <w:tab/>
            </w:r>
            <w:r w:rsidRPr="00E539FE">
              <w:rPr>
                <w:b w:val="0"/>
                <w:noProof/>
                <w:webHidden/>
                <w:sz w:val="24"/>
                <w:szCs w:val="24"/>
              </w:rPr>
              <w:fldChar w:fldCharType="begin"/>
            </w:r>
            <w:r w:rsidR="00E539FE" w:rsidRPr="00E539FE">
              <w:rPr>
                <w:b w:val="0"/>
                <w:noProof/>
                <w:webHidden/>
                <w:sz w:val="24"/>
                <w:szCs w:val="24"/>
              </w:rPr>
              <w:instrText xml:space="preserve"> PAGEREF _Toc80177702 \h </w:instrText>
            </w:r>
            <w:r w:rsidRPr="00E539FE">
              <w:rPr>
                <w:b w:val="0"/>
                <w:noProof/>
                <w:webHidden/>
                <w:sz w:val="24"/>
                <w:szCs w:val="24"/>
              </w:rPr>
            </w:r>
            <w:r w:rsidRPr="00E539FE">
              <w:rPr>
                <w:b w:val="0"/>
                <w:noProof/>
                <w:webHidden/>
                <w:sz w:val="24"/>
                <w:szCs w:val="24"/>
              </w:rPr>
              <w:fldChar w:fldCharType="separate"/>
            </w:r>
            <w:r w:rsidR="00E539FE" w:rsidRPr="00E539FE">
              <w:rPr>
                <w:b w:val="0"/>
                <w:noProof/>
                <w:webHidden/>
                <w:sz w:val="24"/>
                <w:szCs w:val="24"/>
              </w:rPr>
              <w:t>24</w:t>
            </w:r>
            <w:r w:rsidRPr="00E539FE">
              <w:rPr>
                <w:b w:val="0"/>
                <w:noProof/>
                <w:webHidden/>
                <w:sz w:val="24"/>
                <w:szCs w:val="24"/>
              </w:rPr>
              <w:fldChar w:fldCharType="end"/>
            </w:r>
          </w:hyperlink>
        </w:p>
        <w:p w:rsidR="00E539FE" w:rsidRPr="00E539FE" w:rsidRDefault="00D87D43" w:rsidP="00E539FE">
          <w:pPr>
            <w:pStyle w:val="TDC1"/>
            <w:tabs>
              <w:tab w:val="left" w:pos="880"/>
              <w:tab w:val="right" w:leader="dot" w:pos="9350"/>
            </w:tabs>
            <w:spacing w:after="0" w:line="360" w:lineRule="auto"/>
            <w:rPr>
              <w:rFonts w:eastAsiaTheme="minorEastAsia"/>
              <w:b w:val="0"/>
              <w:noProof/>
              <w:sz w:val="24"/>
              <w:szCs w:val="24"/>
              <w:lang w:val="en-US"/>
            </w:rPr>
          </w:pPr>
          <w:hyperlink w:anchor="_Toc80177703" w:history="1">
            <w:r w:rsidR="00E539FE" w:rsidRPr="00E539FE">
              <w:rPr>
                <w:rStyle w:val="Hipervnculo"/>
                <w:b w:val="0"/>
                <w:noProof/>
                <w:sz w:val="24"/>
                <w:szCs w:val="24"/>
              </w:rPr>
              <w:t>5.2.</w:t>
            </w:r>
            <w:r w:rsidR="00E539FE" w:rsidRPr="00E539FE">
              <w:rPr>
                <w:rFonts w:eastAsiaTheme="minorEastAsia"/>
                <w:b w:val="0"/>
                <w:noProof/>
                <w:sz w:val="24"/>
                <w:szCs w:val="24"/>
                <w:lang w:val="en-US"/>
              </w:rPr>
              <w:tab/>
            </w:r>
            <w:r w:rsidR="00E539FE" w:rsidRPr="00E539FE">
              <w:rPr>
                <w:rStyle w:val="Hipervnculo"/>
                <w:b w:val="0"/>
                <w:noProof/>
                <w:sz w:val="24"/>
                <w:szCs w:val="24"/>
              </w:rPr>
              <w:t>Objetivo General</w:t>
            </w:r>
            <w:r w:rsidR="00E539FE" w:rsidRPr="00E539FE">
              <w:rPr>
                <w:b w:val="0"/>
                <w:noProof/>
                <w:webHidden/>
                <w:sz w:val="24"/>
                <w:szCs w:val="24"/>
              </w:rPr>
              <w:tab/>
            </w:r>
            <w:r w:rsidRPr="00E539FE">
              <w:rPr>
                <w:b w:val="0"/>
                <w:noProof/>
                <w:webHidden/>
                <w:sz w:val="24"/>
                <w:szCs w:val="24"/>
              </w:rPr>
              <w:fldChar w:fldCharType="begin"/>
            </w:r>
            <w:r w:rsidR="00E539FE" w:rsidRPr="00E539FE">
              <w:rPr>
                <w:b w:val="0"/>
                <w:noProof/>
                <w:webHidden/>
                <w:sz w:val="24"/>
                <w:szCs w:val="24"/>
              </w:rPr>
              <w:instrText xml:space="preserve"> PAGEREF _Toc80177703 \h </w:instrText>
            </w:r>
            <w:r w:rsidRPr="00E539FE">
              <w:rPr>
                <w:b w:val="0"/>
                <w:noProof/>
                <w:webHidden/>
                <w:sz w:val="24"/>
                <w:szCs w:val="24"/>
              </w:rPr>
            </w:r>
            <w:r w:rsidRPr="00E539FE">
              <w:rPr>
                <w:b w:val="0"/>
                <w:noProof/>
                <w:webHidden/>
                <w:sz w:val="24"/>
                <w:szCs w:val="24"/>
              </w:rPr>
              <w:fldChar w:fldCharType="separate"/>
            </w:r>
            <w:r w:rsidR="00E539FE" w:rsidRPr="00E539FE">
              <w:rPr>
                <w:b w:val="0"/>
                <w:noProof/>
                <w:webHidden/>
                <w:sz w:val="24"/>
                <w:szCs w:val="24"/>
              </w:rPr>
              <w:t>24</w:t>
            </w:r>
            <w:r w:rsidRPr="00E539FE">
              <w:rPr>
                <w:b w:val="0"/>
                <w:noProof/>
                <w:webHidden/>
                <w:sz w:val="24"/>
                <w:szCs w:val="24"/>
              </w:rPr>
              <w:fldChar w:fldCharType="end"/>
            </w:r>
          </w:hyperlink>
        </w:p>
        <w:p w:rsidR="00E539FE" w:rsidRPr="00E539FE" w:rsidRDefault="00D87D43" w:rsidP="00E539FE">
          <w:pPr>
            <w:pStyle w:val="TDC1"/>
            <w:tabs>
              <w:tab w:val="left" w:pos="880"/>
              <w:tab w:val="right" w:leader="dot" w:pos="9350"/>
            </w:tabs>
            <w:spacing w:after="0" w:line="360" w:lineRule="auto"/>
            <w:rPr>
              <w:rFonts w:eastAsiaTheme="minorEastAsia"/>
              <w:b w:val="0"/>
              <w:noProof/>
              <w:sz w:val="24"/>
              <w:szCs w:val="24"/>
              <w:lang w:val="en-US"/>
            </w:rPr>
          </w:pPr>
          <w:hyperlink w:anchor="_Toc80177704" w:history="1">
            <w:r w:rsidR="00E539FE" w:rsidRPr="00E539FE">
              <w:rPr>
                <w:rStyle w:val="Hipervnculo"/>
                <w:b w:val="0"/>
                <w:noProof/>
                <w:sz w:val="24"/>
                <w:szCs w:val="24"/>
              </w:rPr>
              <w:t>5.3.</w:t>
            </w:r>
            <w:r w:rsidR="00E539FE" w:rsidRPr="00E539FE">
              <w:rPr>
                <w:rFonts w:eastAsiaTheme="minorEastAsia"/>
                <w:b w:val="0"/>
                <w:noProof/>
                <w:sz w:val="24"/>
                <w:szCs w:val="24"/>
                <w:lang w:val="en-US"/>
              </w:rPr>
              <w:tab/>
            </w:r>
            <w:r w:rsidR="00E539FE" w:rsidRPr="00E539FE">
              <w:rPr>
                <w:rStyle w:val="Hipervnculo"/>
                <w:b w:val="0"/>
                <w:noProof/>
                <w:sz w:val="24"/>
                <w:szCs w:val="24"/>
              </w:rPr>
              <w:t>Objetivos Estratégicos</w:t>
            </w:r>
            <w:r w:rsidR="00E539FE" w:rsidRPr="00E539FE">
              <w:rPr>
                <w:b w:val="0"/>
                <w:noProof/>
                <w:webHidden/>
                <w:sz w:val="24"/>
                <w:szCs w:val="24"/>
              </w:rPr>
              <w:tab/>
            </w:r>
            <w:r w:rsidRPr="00E539FE">
              <w:rPr>
                <w:b w:val="0"/>
                <w:noProof/>
                <w:webHidden/>
                <w:sz w:val="24"/>
                <w:szCs w:val="24"/>
              </w:rPr>
              <w:fldChar w:fldCharType="begin"/>
            </w:r>
            <w:r w:rsidR="00E539FE" w:rsidRPr="00E539FE">
              <w:rPr>
                <w:b w:val="0"/>
                <w:noProof/>
                <w:webHidden/>
                <w:sz w:val="24"/>
                <w:szCs w:val="24"/>
              </w:rPr>
              <w:instrText xml:space="preserve"> PAGEREF _Toc80177704 \h </w:instrText>
            </w:r>
            <w:r w:rsidRPr="00E539FE">
              <w:rPr>
                <w:b w:val="0"/>
                <w:noProof/>
                <w:webHidden/>
                <w:sz w:val="24"/>
                <w:szCs w:val="24"/>
              </w:rPr>
            </w:r>
            <w:r w:rsidRPr="00E539FE">
              <w:rPr>
                <w:b w:val="0"/>
                <w:noProof/>
                <w:webHidden/>
                <w:sz w:val="24"/>
                <w:szCs w:val="24"/>
              </w:rPr>
              <w:fldChar w:fldCharType="separate"/>
            </w:r>
            <w:r w:rsidR="00E539FE" w:rsidRPr="00E539FE">
              <w:rPr>
                <w:b w:val="0"/>
                <w:noProof/>
                <w:webHidden/>
                <w:sz w:val="24"/>
                <w:szCs w:val="24"/>
              </w:rPr>
              <w:t>25</w:t>
            </w:r>
            <w:r w:rsidRPr="00E539FE">
              <w:rPr>
                <w:b w:val="0"/>
                <w:noProof/>
                <w:webHidden/>
                <w:sz w:val="24"/>
                <w:szCs w:val="24"/>
              </w:rPr>
              <w:fldChar w:fldCharType="end"/>
            </w:r>
          </w:hyperlink>
        </w:p>
        <w:p w:rsidR="00E539FE" w:rsidRPr="00E539FE" w:rsidRDefault="00D87D43" w:rsidP="00E539FE">
          <w:pPr>
            <w:pStyle w:val="TDC1"/>
            <w:tabs>
              <w:tab w:val="left" w:pos="880"/>
              <w:tab w:val="right" w:leader="dot" w:pos="9350"/>
            </w:tabs>
            <w:spacing w:after="0" w:line="360" w:lineRule="auto"/>
            <w:rPr>
              <w:rFonts w:eastAsiaTheme="minorEastAsia"/>
              <w:b w:val="0"/>
              <w:noProof/>
              <w:sz w:val="24"/>
              <w:szCs w:val="24"/>
              <w:lang w:val="en-US"/>
            </w:rPr>
          </w:pPr>
          <w:hyperlink w:anchor="_Toc80177705" w:history="1">
            <w:r w:rsidR="00E539FE" w:rsidRPr="00E539FE">
              <w:rPr>
                <w:rStyle w:val="Hipervnculo"/>
                <w:b w:val="0"/>
                <w:noProof/>
                <w:sz w:val="24"/>
                <w:szCs w:val="24"/>
              </w:rPr>
              <w:t>5.4.</w:t>
            </w:r>
            <w:r w:rsidR="00E539FE" w:rsidRPr="00E539FE">
              <w:rPr>
                <w:rFonts w:eastAsiaTheme="minorEastAsia"/>
                <w:b w:val="0"/>
                <w:noProof/>
                <w:sz w:val="24"/>
                <w:szCs w:val="24"/>
                <w:lang w:val="en-US"/>
              </w:rPr>
              <w:tab/>
            </w:r>
            <w:r w:rsidR="00E539FE" w:rsidRPr="00E539FE">
              <w:rPr>
                <w:rStyle w:val="Hipervnculo"/>
                <w:b w:val="0"/>
                <w:noProof/>
                <w:sz w:val="24"/>
                <w:szCs w:val="24"/>
              </w:rPr>
              <w:t>Resultados Esperados</w:t>
            </w:r>
            <w:r w:rsidR="00E539FE" w:rsidRPr="00E539FE">
              <w:rPr>
                <w:b w:val="0"/>
                <w:noProof/>
                <w:webHidden/>
                <w:sz w:val="24"/>
                <w:szCs w:val="24"/>
              </w:rPr>
              <w:tab/>
            </w:r>
            <w:r w:rsidRPr="00E539FE">
              <w:rPr>
                <w:b w:val="0"/>
                <w:noProof/>
                <w:webHidden/>
                <w:sz w:val="24"/>
                <w:szCs w:val="24"/>
              </w:rPr>
              <w:fldChar w:fldCharType="begin"/>
            </w:r>
            <w:r w:rsidR="00E539FE" w:rsidRPr="00E539FE">
              <w:rPr>
                <w:b w:val="0"/>
                <w:noProof/>
                <w:webHidden/>
                <w:sz w:val="24"/>
                <w:szCs w:val="24"/>
              </w:rPr>
              <w:instrText xml:space="preserve"> PAGEREF _Toc80177705 \h </w:instrText>
            </w:r>
            <w:r w:rsidRPr="00E539FE">
              <w:rPr>
                <w:b w:val="0"/>
                <w:noProof/>
                <w:webHidden/>
                <w:sz w:val="24"/>
                <w:szCs w:val="24"/>
              </w:rPr>
            </w:r>
            <w:r w:rsidRPr="00E539FE">
              <w:rPr>
                <w:b w:val="0"/>
                <w:noProof/>
                <w:webHidden/>
                <w:sz w:val="24"/>
                <w:szCs w:val="24"/>
              </w:rPr>
              <w:fldChar w:fldCharType="separate"/>
            </w:r>
            <w:r w:rsidR="00E539FE" w:rsidRPr="00E539FE">
              <w:rPr>
                <w:b w:val="0"/>
                <w:noProof/>
                <w:webHidden/>
                <w:sz w:val="24"/>
                <w:szCs w:val="24"/>
              </w:rPr>
              <w:t>25</w:t>
            </w:r>
            <w:r w:rsidRPr="00E539FE">
              <w:rPr>
                <w:b w:val="0"/>
                <w:noProof/>
                <w:webHidden/>
                <w:sz w:val="24"/>
                <w:szCs w:val="24"/>
              </w:rPr>
              <w:fldChar w:fldCharType="end"/>
            </w:r>
          </w:hyperlink>
        </w:p>
        <w:p w:rsidR="00E539FE" w:rsidRPr="00E539FE" w:rsidRDefault="00D87D43" w:rsidP="00E539FE">
          <w:pPr>
            <w:pStyle w:val="TDC1"/>
            <w:tabs>
              <w:tab w:val="left" w:pos="880"/>
              <w:tab w:val="right" w:leader="dot" w:pos="9350"/>
            </w:tabs>
            <w:spacing w:after="0" w:line="360" w:lineRule="auto"/>
            <w:rPr>
              <w:rFonts w:eastAsiaTheme="minorEastAsia"/>
              <w:b w:val="0"/>
              <w:noProof/>
              <w:sz w:val="24"/>
              <w:szCs w:val="24"/>
              <w:lang w:val="en-US"/>
            </w:rPr>
          </w:pPr>
          <w:hyperlink w:anchor="_Toc80177706" w:history="1">
            <w:r w:rsidR="00E539FE" w:rsidRPr="00E539FE">
              <w:rPr>
                <w:rStyle w:val="Hipervnculo"/>
                <w:b w:val="0"/>
                <w:noProof/>
                <w:sz w:val="24"/>
                <w:szCs w:val="24"/>
              </w:rPr>
              <w:t>5.5.</w:t>
            </w:r>
            <w:r w:rsidR="00E539FE" w:rsidRPr="00E539FE">
              <w:rPr>
                <w:rFonts w:eastAsiaTheme="minorEastAsia"/>
                <w:b w:val="0"/>
                <w:noProof/>
                <w:sz w:val="24"/>
                <w:szCs w:val="24"/>
                <w:lang w:val="en-US"/>
              </w:rPr>
              <w:tab/>
            </w:r>
            <w:r w:rsidR="00E539FE" w:rsidRPr="00E539FE">
              <w:rPr>
                <w:rStyle w:val="Hipervnculo"/>
                <w:b w:val="0"/>
                <w:noProof/>
                <w:sz w:val="24"/>
                <w:szCs w:val="24"/>
              </w:rPr>
              <w:t>Productos Entregables</w:t>
            </w:r>
            <w:r w:rsidR="00E539FE" w:rsidRPr="00E539FE">
              <w:rPr>
                <w:b w:val="0"/>
                <w:noProof/>
                <w:webHidden/>
                <w:sz w:val="24"/>
                <w:szCs w:val="24"/>
              </w:rPr>
              <w:tab/>
            </w:r>
            <w:r w:rsidRPr="00E539FE">
              <w:rPr>
                <w:b w:val="0"/>
                <w:noProof/>
                <w:webHidden/>
                <w:sz w:val="24"/>
                <w:szCs w:val="24"/>
              </w:rPr>
              <w:fldChar w:fldCharType="begin"/>
            </w:r>
            <w:r w:rsidR="00E539FE" w:rsidRPr="00E539FE">
              <w:rPr>
                <w:b w:val="0"/>
                <w:noProof/>
                <w:webHidden/>
                <w:sz w:val="24"/>
                <w:szCs w:val="24"/>
              </w:rPr>
              <w:instrText xml:space="preserve"> PAGEREF _Toc80177706 \h </w:instrText>
            </w:r>
            <w:r w:rsidRPr="00E539FE">
              <w:rPr>
                <w:b w:val="0"/>
                <w:noProof/>
                <w:webHidden/>
                <w:sz w:val="24"/>
                <w:szCs w:val="24"/>
              </w:rPr>
            </w:r>
            <w:r w:rsidRPr="00E539FE">
              <w:rPr>
                <w:b w:val="0"/>
                <w:noProof/>
                <w:webHidden/>
                <w:sz w:val="24"/>
                <w:szCs w:val="24"/>
              </w:rPr>
              <w:fldChar w:fldCharType="separate"/>
            </w:r>
            <w:r w:rsidR="00E539FE" w:rsidRPr="00E539FE">
              <w:rPr>
                <w:b w:val="0"/>
                <w:noProof/>
                <w:webHidden/>
                <w:sz w:val="24"/>
                <w:szCs w:val="24"/>
              </w:rPr>
              <w:t>25</w:t>
            </w:r>
            <w:r w:rsidRPr="00E539FE">
              <w:rPr>
                <w:b w:val="0"/>
                <w:noProof/>
                <w:webHidden/>
                <w:sz w:val="24"/>
                <w:szCs w:val="24"/>
              </w:rPr>
              <w:fldChar w:fldCharType="end"/>
            </w:r>
          </w:hyperlink>
        </w:p>
        <w:p w:rsidR="00E539FE" w:rsidRPr="00E539FE" w:rsidRDefault="00D87D43" w:rsidP="00E539FE">
          <w:pPr>
            <w:pStyle w:val="TDC1"/>
            <w:tabs>
              <w:tab w:val="left" w:pos="880"/>
              <w:tab w:val="right" w:leader="dot" w:pos="9350"/>
            </w:tabs>
            <w:spacing w:after="0" w:line="360" w:lineRule="auto"/>
            <w:rPr>
              <w:rFonts w:eastAsiaTheme="minorEastAsia"/>
              <w:b w:val="0"/>
              <w:noProof/>
              <w:sz w:val="24"/>
              <w:szCs w:val="24"/>
              <w:lang w:val="en-US"/>
            </w:rPr>
          </w:pPr>
          <w:hyperlink w:anchor="_Toc80177707" w:history="1">
            <w:r w:rsidR="00E539FE" w:rsidRPr="00E539FE">
              <w:rPr>
                <w:rStyle w:val="Hipervnculo"/>
                <w:b w:val="0"/>
                <w:noProof/>
                <w:sz w:val="24"/>
                <w:szCs w:val="24"/>
              </w:rPr>
              <w:t>5.6.</w:t>
            </w:r>
            <w:r w:rsidR="00E539FE" w:rsidRPr="00E539FE">
              <w:rPr>
                <w:rFonts w:eastAsiaTheme="minorEastAsia"/>
                <w:b w:val="0"/>
                <w:noProof/>
                <w:sz w:val="24"/>
                <w:szCs w:val="24"/>
                <w:lang w:val="en-US"/>
              </w:rPr>
              <w:tab/>
            </w:r>
            <w:r w:rsidR="00E539FE" w:rsidRPr="00E539FE">
              <w:rPr>
                <w:rStyle w:val="Hipervnculo"/>
                <w:b w:val="0"/>
                <w:noProof/>
                <w:sz w:val="24"/>
                <w:szCs w:val="24"/>
              </w:rPr>
              <w:t>Matriz de Estratégica</w:t>
            </w:r>
            <w:r w:rsidR="00E539FE" w:rsidRPr="00E539FE">
              <w:rPr>
                <w:b w:val="0"/>
                <w:noProof/>
                <w:webHidden/>
                <w:sz w:val="24"/>
                <w:szCs w:val="24"/>
              </w:rPr>
              <w:tab/>
            </w:r>
            <w:r w:rsidRPr="00E539FE">
              <w:rPr>
                <w:b w:val="0"/>
                <w:noProof/>
                <w:webHidden/>
                <w:sz w:val="24"/>
                <w:szCs w:val="24"/>
              </w:rPr>
              <w:fldChar w:fldCharType="begin"/>
            </w:r>
            <w:r w:rsidR="00E539FE" w:rsidRPr="00E539FE">
              <w:rPr>
                <w:b w:val="0"/>
                <w:noProof/>
                <w:webHidden/>
                <w:sz w:val="24"/>
                <w:szCs w:val="24"/>
              </w:rPr>
              <w:instrText xml:space="preserve"> PAGEREF _Toc80177707 \h </w:instrText>
            </w:r>
            <w:r w:rsidRPr="00E539FE">
              <w:rPr>
                <w:b w:val="0"/>
                <w:noProof/>
                <w:webHidden/>
                <w:sz w:val="24"/>
                <w:szCs w:val="24"/>
              </w:rPr>
            </w:r>
            <w:r w:rsidRPr="00E539FE">
              <w:rPr>
                <w:b w:val="0"/>
                <w:noProof/>
                <w:webHidden/>
                <w:sz w:val="24"/>
                <w:szCs w:val="24"/>
              </w:rPr>
              <w:fldChar w:fldCharType="separate"/>
            </w:r>
            <w:r w:rsidR="00E539FE" w:rsidRPr="00E539FE">
              <w:rPr>
                <w:b w:val="0"/>
                <w:noProof/>
                <w:webHidden/>
                <w:sz w:val="24"/>
                <w:szCs w:val="24"/>
              </w:rPr>
              <w:t>27</w:t>
            </w:r>
            <w:r w:rsidRPr="00E539FE">
              <w:rPr>
                <w:b w:val="0"/>
                <w:noProof/>
                <w:webHidden/>
                <w:sz w:val="24"/>
                <w:szCs w:val="24"/>
              </w:rPr>
              <w:fldChar w:fldCharType="end"/>
            </w:r>
          </w:hyperlink>
        </w:p>
        <w:p w:rsidR="00E539FE" w:rsidRPr="00E539FE" w:rsidRDefault="00D87D43" w:rsidP="00E539FE">
          <w:pPr>
            <w:pStyle w:val="TDC1"/>
            <w:tabs>
              <w:tab w:val="left" w:pos="660"/>
              <w:tab w:val="right" w:leader="dot" w:pos="9350"/>
            </w:tabs>
            <w:spacing w:after="0" w:line="360" w:lineRule="auto"/>
            <w:rPr>
              <w:rFonts w:eastAsiaTheme="minorEastAsia"/>
              <w:b w:val="0"/>
              <w:noProof/>
              <w:sz w:val="24"/>
              <w:szCs w:val="24"/>
              <w:lang w:val="en-US"/>
            </w:rPr>
          </w:pPr>
          <w:hyperlink w:anchor="_Toc80177708" w:history="1">
            <w:r w:rsidR="00E539FE" w:rsidRPr="00E539FE">
              <w:rPr>
                <w:rStyle w:val="Hipervnculo"/>
                <w:b w:val="0"/>
                <w:noProof/>
                <w:sz w:val="24"/>
                <w:szCs w:val="24"/>
              </w:rPr>
              <w:t>6.</w:t>
            </w:r>
            <w:r w:rsidR="00E539FE" w:rsidRPr="00E539FE">
              <w:rPr>
                <w:rFonts w:eastAsiaTheme="minorEastAsia"/>
                <w:b w:val="0"/>
                <w:noProof/>
                <w:sz w:val="24"/>
                <w:szCs w:val="24"/>
                <w:lang w:val="en-US"/>
              </w:rPr>
              <w:tab/>
            </w:r>
            <w:r w:rsidR="00E539FE" w:rsidRPr="00E539FE">
              <w:rPr>
                <w:rStyle w:val="Hipervnculo"/>
                <w:b w:val="0"/>
                <w:noProof/>
                <w:sz w:val="24"/>
                <w:szCs w:val="24"/>
              </w:rPr>
              <w:t>MONITOREO Y CONTROL</w:t>
            </w:r>
            <w:r w:rsidR="00E539FE" w:rsidRPr="00E539FE">
              <w:rPr>
                <w:b w:val="0"/>
                <w:noProof/>
                <w:webHidden/>
                <w:sz w:val="24"/>
                <w:szCs w:val="24"/>
              </w:rPr>
              <w:tab/>
            </w:r>
            <w:r w:rsidRPr="00E539FE">
              <w:rPr>
                <w:b w:val="0"/>
                <w:noProof/>
                <w:webHidden/>
                <w:sz w:val="24"/>
                <w:szCs w:val="24"/>
              </w:rPr>
              <w:fldChar w:fldCharType="begin"/>
            </w:r>
            <w:r w:rsidR="00E539FE" w:rsidRPr="00E539FE">
              <w:rPr>
                <w:b w:val="0"/>
                <w:noProof/>
                <w:webHidden/>
                <w:sz w:val="24"/>
                <w:szCs w:val="24"/>
              </w:rPr>
              <w:instrText xml:space="preserve"> PAGEREF _Toc80177708 \h </w:instrText>
            </w:r>
            <w:r w:rsidRPr="00E539FE">
              <w:rPr>
                <w:b w:val="0"/>
                <w:noProof/>
                <w:webHidden/>
                <w:sz w:val="24"/>
                <w:szCs w:val="24"/>
              </w:rPr>
            </w:r>
            <w:r w:rsidRPr="00E539FE">
              <w:rPr>
                <w:b w:val="0"/>
                <w:noProof/>
                <w:webHidden/>
                <w:sz w:val="24"/>
                <w:szCs w:val="24"/>
              </w:rPr>
              <w:fldChar w:fldCharType="separate"/>
            </w:r>
            <w:r w:rsidR="00E539FE" w:rsidRPr="00E539FE">
              <w:rPr>
                <w:b w:val="0"/>
                <w:noProof/>
                <w:webHidden/>
                <w:sz w:val="24"/>
                <w:szCs w:val="24"/>
              </w:rPr>
              <w:t>31</w:t>
            </w:r>
            <w:r w:rsidRPr="00E539FE">
              <w:rPr>
                <w:b w:val="0"/>
                <w:noProof/>
                <w:webHidden/>
                <w:sz w:val="24"/>
                <w:szCs w:val="24"/>
              </w:rPr>
              <w:fldChar w:fldCharType="end"/>
            </w:r>
          </w:hyperlink>
        </w:p>
        <w:p w:rsidR="00E539FE" w:rsidRDefault="00D87D43" w:rsidP="00E539FE">
          <w:pPr>
            <w:pStyle w:val="TDC1"/>
            <w:tabs>
              <w:tab w:val="left" w:pos="660"/>
              <w:tab w:val="right" w:leader="dot" w:pos="9350"/>
            </w:tabs>
            <w:spacing w:after="0" w:line="360" w:lineRule="auto"/>
            <w:rPr>
              <w:rStyle w:val="Hipervnculo"/>
              <w:b w:val="0"/>
              <w:noProof/>
              <w:sz w:val="24"/>
              <w:szCs w:val="24"/>
            </w:rPr>
            <w:sectPr w:rsidR="00E539FE" w:rsidSect="00102C17">
              <w:pgSz w:w="12240" w:h="15840"/>
              <w:pgMar w:top="1440" w:right="1440" w:bottom="1440" w:left="1440" w:header="708" w:footer="708" w:gutter="0"/>
              <w:cols w:space="708"/>
              <w:titlePg/>
              <w:docGrid w:linePitch="382"/>
            </w:sectPr>
          </w:pPr>
          <w:hyperlink w:anchor="_Toc80177709" w:history="1">
            <w:r w:rsidR="00E539FE" w:rsidRPr="00E539FE">
              <w:rPr>
                <w:rStyle w:val="Hipervnculo"/>
                <w:b w:val="0"/>
                <w:noProof/>
                <w:sz w:val="24"/>
                <w:szCs w:val="24"/>
              </w:rPr>
              <w:t>7.</w:t>
            </w:r>
            <w:r w:rsidR="00E539FE" w:rsidRPr="00E539FE">
              <w:rPr>
                <w:rFonts w:eastAsiaTheme="minorEastAsia"/>
                <w:b w:val="0"/>
                <w:noProof/>
                <w:sz w:val="24"/>
                <w:szCs w:val="24"/>
                <w:lang w:val="en-US"/>
              </w:rPr>
              <w:tab/>
            </w:r>
            <w:r w:rsidR="00E539FE" w:rsidRPr="00E539FE">
              <w:rPr>
                <w:rStyle w:val="Hipervnculo"/>
                <w:b w:val="0"/>
                <w:noProof/>
                <w:sz w:val="24"/>
                <w:szCs w:val="24"/>
              </w:rPr>
              <w:t>CONTROL DE MODIFICACIONES DEL MANUAL</w:t>
            </w:r>
            <w:r w:rsidR="00E539FE" w:rsidRPr="00E539FE">
              <w:rPr>
                <w:b w:val="0"/>
                <w:noProof/>
                <w:webHidden/>
                <w:sz w:val="24"/>
                <w:szCs w:val="24"/>
              </w:rPr>
              <w:tab/>
            </w:r>
            <w:r w:rsidRPr="00E539FE">
              <w:rPr>
                <w:b w:val="0"/>
                <w:noProof/>
                <w:webHidden/>
                <w:sz w:val="24"/>
                <w:szCs w:val="24"/>
              </w:rPr>
              <w:fldChar w:fldCharType="begin"/>
            </w:r>
            <w:r w:rsidR="00E539FE" w:rsidRPr="00E539FE">
              <w:rPr>
                <w:b w:val="0"/>
                <w:noProof/>
                <w:webHidden/>
                <w:sz w:val="24"/>
                <w:szCs w:val="24"/>
              </w:rPr>
              <w:instrText xml:space="preserve"> PAGEREF _Toc80177709 \h </w:instrText>
            </w:r>
            <w:r w:rsidRPr="00E539FE">
              <w:rPr>
                <w:b w:val="0"/>
                <w:noProof/>
                <w:webHidden/>
                <w:sz w:val="24"/>
                <w:szCs w:val="24"/>
              </w:rPr>
            </w:r>
            <w:r w:rsidRPr="00E539FE">
              <w:rPr>
                <w:b w:val="0"/>
                <w:noProof/>
                <w:webHidden/>
                <w:sz w:val="24"/>
                <w:szCs w:val="24"/>
              </w:rPr>
              <w:fldChar w:fldCharType="separate"/>
            </w:r>
            <w:r w:rsidR="00E539FE" w:rsidRPr="00E539FE">
              <w:rPr>
                <w:b w:val="0"/>
                <w:noProof/>
                <w:webHidden/>
                <w:sz w:val="24"/>
                <w:szCs w:val="24"/>
              </w:rPr>
              <w:t>40</w:t>
            </w:r>
            <w:r w:rsidRPr="00E539FE">
              <w:rPr>
                <w:b w:val="0"/>
                <w:noProof/>
                <w:webHidden/>
                <w:sz w:val="24"/>
                <w:szCs w:val="24"/>
              </w:rPr>
              <w:fldChar w:fldCharType="end"/>
            </w:r>
          </w:hyperlink>
        </w:p>
        <w:p w:rsidR="00E539FE" w:rsidRPr="00E539FE" w:rsidRDefault="00E539FE" w:rsidP="00E539FE">
          <w:pPr>
            <w:pStyle w:val="TDC1"/>
            <w:tabs>
              <w:tab w:val="left" w:pos="660"/>
              <w:tab w:val="right" w:leader="dot" w:pos="9350"/>
            </w:tabs>
            <w:spacing w:after="0" w:line="360" w:lineRule="auto"/>
            <w:rPr>
              <w:rFonts w:eastAsiaTheme="minorEastAsia"/>
              <w:b w:val="0"/>
              <w:noProof/>
              <w:sz w:val="24"/>
              <w:szCs w:val="24"/>
              <w:lang w:val="en-US"/>
            </w:rPr>
          </w:pPr>
        </w:p>
        <w:p w:rsidR="00E539FE" w:rsidRPr="00E539FE" w:rsidRDefault="00D87D43" w:rsidP="00E539FE">
          <w:pPr>
            <w:spacing w:after="0" w:line="360" w:lineRule="auto"/>
            <w:sectPr w:rsidR="00E539FE" w:rsidRPr="00E539FE" w:rsidSect="00E539FE">
              <w:type w:val="continuous"/>
              <w:pgSz w:w="12240" w:h="15840"/>
              <w:pgMar w:top="1440" w:right="1440" w:bottom="1440" w:left="1440" w:header="708" w:footer="708" w:gutter="0"/>
              <w:cols w:space="708"/>
              <w:titlePg/>
              <w:docGrid w:linePitch="382"/>
            </w:sectPr>
          </w:pPr>
          <w:r w:rsidRPr="00E539FE">
            <w:rPr>
              <w:b w:val="0"/>
              <w:noProof/>
              <w:sz w:val="24"/>
              <w:szCs w:val="24"/>
            </w:rPr>
            <w:fldChar w:fldCharType="end"/>
          </w:r>
        </w:p>
      </w:sdtContent>
    </w:sdt>
    <w:p w:rsidR="00E539FE" w:rsidRDefault="00E539FE" w:rsidP="001115A6">
      <w:r>
        <w:lastRenderedPageBreak/>
        <w:br w:type="page"/>
      </w:r>
    </w:p>
    <w:p w:rsidR="00E539FE" w:rsidRDefault="00E539FE" w:rsidP="001115A6">
      <w:pPr>
        <w:sectPr w:rsidR="00E539FE" w:rsidSect="00102C17">
          <w:pgSz w:w="12240" w:h="15840"/>
          <w:pgMar w:top="1440" w:right="1440" w:bottom="1440" w:left="1440" w:header="708" w:footer="708" w:gutter="0"/>
          <w:cols w:space="708"/>
          <w:titlePg/>
          <w:docGrid w:linePitch="382"/>
        </w:sectPr>
      </w:pPr>
    </w:p>
    <w:p w:rsidR="00102C17" w:rsidRDefault="00102C17" w:rsidP="001115A6"/>
    <w:tbl>
      <w:tblPr>
        <w:tblStyle w:val="Tablaconcuadrcula"/>
        <w:tblW w:w="9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71"/>
        <w:gridCol w:w="299"/>
        <w:gridCol w:w="4775"/>
      </w:tblGrid>
      <w:tr w:rsidR="00F55221" w:rsidTr="008E6917">
        <w:trPr>
          <w:trHeight w:val="320"/>
        </w:trPr>
        <w:tc>
          <w:tcPr>
            <w:tcW w:w="4771" w:type="dxa"/>
            <w:shd w:val="clear" w:color="auto" w:fill="00B0F0"/>
          </w:tcPr>
          <w:p w:rsidR="00F55221" w:rsidRDefault="00F55221" w:rsidP="00DD04C3">
            <w:pPr>
              <w:jc w:val="center"/>
            </w:pPr>
            <w:r>
              <w:t>ConsejoDirect</w:t>
            </w:r>
            <w:r w:rsidR="00572AF8">
              <w:t>ivo</w:t>
            </w:r>
          </w:p>
        </w:tc>
        <w:tc>
          <w:tcPr>
            <w:tcW w:w="299" w:type="dxa"/>
            <w:shd w:val="clear" w:color="auto" w:fill="00B0F0"/>
          </w:tcPr>
          <w:p w:rsidR="00F55221" w:rsidRDefault="00F55221" w:rsidP="001115A6"/>
        </w:tc>
        <w:tc>
          <w:tcPr>
            <w:tcW w:w="4775" w:type="dxa"/>
            <w:shd w:val="clear" w:color="auto" w:fill="00B0F0"/>
          </w:tcPr>
          <w:p w:rsidR="00F55221" w:rsidRDefault="00F55221" w:rsidP="00DD04C3">
            <w:pPr>
              <w:jc w:val="center"/>
            </w:pPr>
            <w:r>
              <w:t>Equipo Coordinador</w:t>
            </w:r>
          </w:p>
        </w:tc>
      </w:tr>
      <w:tr w:rsidR="00F55221" w:rsidTr="008E6917">
        <w:trPr>
          <w:trHeight w:val="1398"/>
        </w:trPr>
        <w:tc>
          <w:tcPr>
            <w:tcW w:w="4771" w:type="dxa"/>
            <w:shd w:val="clear" w:color="auto" w:fill="DEEAF6" w:themeFill="accent5" w:themeFillTint="33"/>
          </w:tcPr>
          <w:p w:rsidR="00572AF8" w:rsidRDefault="00572AF8" w:rsidP="008E6917">
            <w:pPr>
              <w:jc w:val="center"/>
              <w:rPr>
                <w:color w:val="0070C0"/>
                <w:sz w:val="24"/>
                <w:szCs w:val="20"/>
              </w:rPr>
            </w:pPr>
          </w:p>
          <w:p w:rsidR="00F55221" w:rsidRPr="00A36BC3" w:rsidRDefault="00F55221" w:rsidP="008E6917">
            <w:pPr>
              <w:jc w:val="center"/>
              <w:rPr>
                <w:color w:val="0070C0"/>
                <w:sz w:val="24"/>
                <w:szCs w:val="20"/>
              </w:rPr>
            </w:pPr>
            <w:r w:rsidRPr="00A36BC3">
              <w:rPr>
                <w:color w:val="0070C0"/>
                <w:sz w:val="24"/>
                <w:szCs w:val="20"/>
              </w:rPr>
              <w:t>José Manuel Vicente</w:t>
            </w:r>
          </w:p>
          <w:p w:rsidR="00F55221" w:rsidRDefault="00F55221" w:rsidP="008E6917">
            <w:pPr>
              <w:jc w:val="center"/>
              <w:rPr>
                <w:b w:val="0"/>
                <w:bCs/>
                <w:sz w:val="24"/>
                <w:szCs w:val="20"/>
              </w:rPr>
            </w:pPr>
            <w:r>
              <w:rPr>
                <w:b w:val="0"/>
                <w:bCs/>
                <w:sz w:val="24"/>
                <w:szCs w:val="20"/>
              </w:rPr>
              <w:t>Ministro de Hacienda</w:t>
            </w:r>
          </w:p>
          <w:p w:rsidR="00F55221" w:rsidRDefault="00F55221" w:rsidP="008E6917">
            <w:pPr>
              <w:jc w:val="center"/>
              <w:rPr>
                <w:b w:val="0"/>
                <w:bCs/>
                <w:sz w:val="24"/>
                <w:szCs w:val="20"/>
              </w:rPr>
            </w:pPr>
            <w:r w:rsidRPr="00A36BC3">
              <w:rPr>
                <w:b w:val="0"/>
                <w:bCs/>
                <w:sz w:val="24"/>
                <w:szCs w:val="20"/>
              </w:rPr>
              <w:t>Presidente</w:t>
            </w:r>
          </w:p>
          <w:p w:rsidR="00F55221" w:rsidRDefault="00F55221" w:rsidP="008E6917">
            <w:pPr>
              <w:jc w:val="center"/>
            </w:pPr>
          </w:p>
        </w:tc>
        <w:tc>
          <w:tcPr>
            <w:tcW w:w="299" w:type="dxa"/>
            <w:shd w:val="clear" w:color="auto" w:fill="00B0F0"/>
          </w:tcPr>
          <w:p w:rsidR="00F55221" w:rsidRDefault="00F55221" w:rsidP="008E6917"/>
        </w:tc>
        <w:tc>
          <w:tcPr>
            <w:tcW w:w="4775" w:type="dxa"/>
            <w:shd w:val="clear" w:color="auto" w:fill="DEEAF6" w:themeFill="accent5" w:themeFillTint="33"/>
          </w:tcPr>
          <w:p w:rsidR="00572AF8" w:rsidRDefault="00572AF8" w:rsidP="008E6917">
            <w:pPr>
              <w:jc w:val="center"/>
              <w:rPr>
                <w:color w:val="0070C0"/>
                <w:sz w:val="24"/>
                <w:szCs w:val="20"/>
              </w:rPr>
            </w:pPr>
          </w:p>
          <w:p w:rsidR="00F55221" w:rsidRPr="00A36BC3" w:rsidRDefault="00F55221" w:rsidP="008E6917">
            <w:pPr>
              <w:jc w:val="center"/>
              <w:rPr>
                <w:color w:val="0070C0"/>
                <w:sz w:val="24"/>
                <w:szCs w:val="20"/>
              </w:rPr>
            </w:pPr>
            <w:r w:rsidRPr="00A36BC3">
              <w:rPr>
                <w:color w:val="0070C0"/>
                <w:sz w:val="24"/>
                <w:szCs w:val="20"/>
              </w:rPr>
              <w:t>Máximo Pérez Pérez</w:t>
            </w:r>
          </w:p>
          <w:p w:rsidR="00F55221" w:rsidRDefault="00F55221" w:rsidP="008E6917">
            <w:pPr>
              <w:jc w:val="center"/>
              <w:rPr>
                <w:b w:val="0"/>
                <w:bCs/>
                <w:sz w:val="24"/>
                <w:szCs w:val="20"/>
              </w:rPr>
            </w:pPr>
            <w:r w:rsidRPr="00A36BC3">
              <w:rPr>
                <w:b w:val="0"/>
                <w:bCs/>
                <w:sz w:val="24"/>
                <w:szCs w:val="20"/>
              </w:rPr>
              <w:t>Director Ejecutivo</w:t>
            </w:r>
          </w:p>
          <w:p w:rsidR="00F55221" w:rsidRDefault="00F55221" w:rsidP="008E6917">
            <w:pPr>
              <w:jc w:val="center"/>
            </w:pPr>
          </w:p>
        </w:tc>
      </w:tr>
      <w:tr w:rsidR="00F55221" w:rsidTr="008E6917">
        <w:trPr>
          <w:trHeight w:val="1121"/>
        </w:trPr>
        <w:tc>
          <w:tcPr>
            <w:tcW w:w="4771" w:type="dxa"/>
            <w:shd w:val="clear" w:color="auto" w:fill="DEEAF6" w:themeFill="accent5" w:themeFillTint="33"/>
          </w:tcPr>
          <w:p w:rsidR="00F55221" w:rsidRPr="00A36BC3" w:rsidRDefault="00F55221" w:rsidP="008E6917">
            <w:pPr>
              <w:jc w:val="center"/>
              <w:rPr>
                <w:color w:val="0070C0"/>
                <w:sz w:val="24"/>
                <w:szCs w:val="20"/>
              </w:rPr>
            </w:pPr>
            <w:r w:rsidRPr="00A36BC3">
              <w:rPr>
                <w:color w:val="0070C0"/>
                <w:sz w:val="24"/>
                <w:szCs w:val="20"/>
              </w:rPr>
              <w:t xml:space="preserve">Limber Cruz </w:t>
            </w:r>
            <w:r w:rsidR="00572AF8" w:rsidRPr="00A36BC3">
              <w:rPr>
                <w:color w:val="0070C0"/>
                <w:sz w:val="24"/>
                <w:szCs w:val="20"/>
              </w:rPr>
              <w:t>López</w:t>
            </w:r>
          </w:p>
          <w:p w:rsidR="00F55221" w:rsidRDefault="00F55221" w:rsidP="008E6917">
            <w:pPr>
              <w:jc w:val="center"/>
              <w:rPr>
                <w:b w:val="0"/>
                <w:bCs/>
                <w:sz w:val="24"/>
                <w:szCs w:val="20"/>
              </w:rPr>
            </w:pPr>
            <w:r>
              <w:rPr>
                <w:b w:val="0"/>
                <w:bCs/>
                <w:sz w:val="24"/>
                <w:szCs w:val="20"/>
              </w:rPr>
              <w:t>Ministro de Agricultura</w:t>
            </w:r>
          </w:p>
          <w:p w:rsidR="00F55221" w:rsidRDefault="00F55221" w:rsidP="008E6917">
            <w:pPr>
              <w:jc w:val="center"/>
              <w:rPr>
                <w:b w:val="0"/>
                <w:bCs/>
                <w:sz w:val="24"/>
                <w:szCs w:val="20"/>
              </w:rPr>
            </w:pPr>
            <w:r>
              <w:rPr>
                <w:b w:val="0"/>
                <w:bCs/>
                <w:sz w:val="24"/>
                <w:szCs w:val="20"/>
              </w:rPr>
              <w:t>Vicepresidente</w:t>
            </w:r>
          </w:p>
          <w:p w:rsidR="00F55221" w:rsidRDefault="00F55221" w:rsidP="008E6917">
            <w:pPr>
              <w:jc w:val="center"/>
            </w:pPr>
          </w:p>
        </w:tc>
        <w:tc>
          <w:tcPr>
            <w:tcW w:w="299" w:type="dxa"/>
            <w:shd w:val="clear" w:color="auto" w:fill="00B0F0"/>
          </w:tcPr>
          <w:p w:rsidR="00F55221" w:rsidRDefault="00F55221" w:rsidP="008E6917"/>
        </w:tc>
        <w:tc>
          <w:tcPr>
            <w:tcW w:w="4775" w:type="dxa"/>
            <w:shd w:val="clear" w:color="auto" w:fill="DEEAF6" w:themeFill="accent5" w:themeFillTint="33"/>
          </w:tcPr>
          <w:p w:rsidR="00F55221" w:rsidRPr="00A36BC3" w:rsidRDefault="00F55221" w:rsidP="008E6917">
            <w:pPr>
              <w:jc w:val="center"/>
              <w:rPr>
                <w:color w:val="0070C0"/>
                <w:sz w:val="24"/>
                <w:szCs w:val="20"/>
              </w:rPr>
            </w:pPr>
            <w:r>
              <w:rPr>
                <w:color w:val="0070C0"/>
                <w:sz w:val="24"/>
                <w:szCs w:val="20"/>
              </w:rPr>
              <w:t>Isaac Terrero Sánchez</w:t>
            </w:r>
          </w:p>
          <w:p w:rsidR="00F55221" w:rsidRDefault="00F55221" w:rsidP="008E6917">
            <w:pPr>
              <w:jc w:val="center"/>
              <w:rPr>
                <w:b w:val="0"/>
                <w:bCs/>
                <w:sz w:val="24"/>
                <w:szCs w:val="20"/>
              </w:rPr>
            </w:pPr>
            <w:r>
              <w:rPr>
                <w:b w:val="0"/>
                <w:bCs/>
                <w:sz w:val="24"/>
                <w:szCs w:val="20"/>
              </w:rPr>
              <w:t>Encargado de la División de Planificación y Desarrollo</w:t>
            </w:r>
          </w:p>
          <w:p w:rsidR="00F55221" w:rsidRDefault="00F55221" w:rsidP="008E6917">
            <w:pPr>
              <w:jc w:val="center"/>
            </w:pPr>
          </w:p>
        </w:tc>
      </w:tr>
      <w:tr w:rsidR="00F55221" w:rsidTr="008E6917">
        <w:trPr>
          <w:trHeight w:val="1121"/>
        </w:trPr>
        <w:tc>
          <w:tcPr>
            <w:tcW w:w="4771" w:type="dxa"/>
            <w:shd w:val="clear" w:color="auto" w:fill="DEEAF6" w:themeFill="accent5" w:themeFillTint="33"/>
          </w:tcPr>
          <w:p w:rsidR="00F55221" w:rsidRPr="00A36BC3" w:rsidRDefault="00F55221" w:rsidP="008E6917">
            <w:pPr>
              <w:jc w:val="center"/>
              <w:rPr>
                <w:color w:val="0070C0"/>
                <w:sz w:val="24"/>
                <w:szCs w:val="20"/>
              </w:rPr>
            </w:pPr>
            <w:r w:rsidRPr="00A36BC3">
              <w:rPr>
                <w:color w:val="0070C0"/>
                <w:sz w:val="24"/>
                <w:szCs w:val="20"/>
              </w:rPr>
              <w:t>Máximo Pérez Pérez</w:t>
            </w:r>
          </w:p>
          <w:p w:rsidR="00F55221" w:rsidRDefault="00F55221" w:rsidP="008E6917">
            <w:pPr>
              <w:jc w:val="center"/>
              <w:rPr>
                <w:b w:val="0"/>
                <w:bCs/>
                <w:sz w:val="24"/>
                <w:szCs w:val="20"/>
              </w:rPr>
            </w:pPr>
            <w:r w:rsidRPr="00A36BC3">
              <w:rPr>
                <w:b w:val="0"/>
                <w:bCs/>
                <w:sz w:val="24"/>
                <w:szCs w:val="20"/>
              </w:rPr>
              <w:t>Director Ejecutivo</w:t>
            </w:r>
          </w:p>
          <w:p w:rsidR="00F55221" w:rsidRDefault="00F55221" w:rsidP="008E6917">
            <w:pPr>
              <w:jc w:val="center"/>
            </w:pPr>
          </w:p>
        </w:tc>
        <w:tc>
          <w:tcPr>
            <w:tcW w:w="299" w:type="dxa"/>
            <w:shd w:val="clear" w:color="auto" w:fill="00B0F0"/>
          </w:tcPr>
          <w:p w:rsidR="00F55221" w:rsidRDefault="00F55221" w:rsidP="008E6917"/>
        </w:tc>
        <w:tc>
          <w:tcPr>
            <w:tcW w:w="4775" w:type="dxa"/>
            <w:shd w:val="clear" w:color="auto" w:fill="DEEAF6" w:themeFill="accent5" w:themeFillTint="33"/>
          </w:tcPr>
          <w:p w:rsidR="00F55221" w:rsidRPr="00A36BC3" w:rsidRDefault="00F55221" w:rsidP="008E6917">
            <w:pPr>
              <w:jc w:val="center"/>
              <w:rPr>
                <w:color w:val="0070C0"/>
                <w:sz w:val="24"/>
                <w:szCs w:val="20"/>
              </w:rPr>
            </w:pPr>
            <w:r>
              <w:rPr>
                <w:color w:val="0070C0"/>
                <w:sz w:val="24"/>
                <w:szCs w:val="20"/>
              </w:rPr>
              <w:t>Anny Rosario Correa</w:t>
            </w:r>
          </w:p>
          <w:p w:rsidR="00F55221" w:rsidRDefault="00F55221" w:rsidP="008E6917">
            <w:pPr>
              <w:jc w:val="center"/>
              <w:rPr>
                <w:b w:val="0"/>
                <w:bCs/>
                <w:sz w:val="24"/>
                <w:szCs w:val="20"/>
              </w:rPr>
            </w:pPr>
            <w:r>
              <w:rPr>
                <w:b w:val="0"/>
                <w:bCs/>
                <w:sz w:val="24"/>
                <w:szCs w:val="20"/>
              </w:rPr>
              <w:t>Encargada de la División de Recursos Humanos</w:t>
            </w:r>
          </w:p>
          <w:p w:rsidR="00F55221" w:rsidRDefault="00F55221" w:rsidP="008E6917">
            <w:pPr>
              <w:jc w:val="center"/>
            </w:pPr>
          </w:p>
        </w:tc>
      </w:tr>
      <w:tr w:rsidR="00F55221" w:rsidTr="008E6917">
        <w:trPr>
          <w:trHeight w:val="916"/>
        </w:trPr>
        <w:tc>
          <w:tcPr>
            <w:tcW w:w="4771" w:type="dxa"/>
            <w:shd w:val="clear" w:color="auto" w:fill="DEEAF6" w:themeFill="accent5" w:themeFillTint="33"/>
          </w:tcPr>
          <w:p w:rsidR="00F55221" w:rsidRPr="00A36BC3" w:rsidRDefault="00F55221" w:rsidP="008E6917">
            <w:pPr>
              <w:jc w:val="center"/>
              <w:rPr>
                <w:color w:val="0070C0"/>
                <w:sz w:val="24"/>
                <w:szCs w:val="20"/>
              </w:rPr>
            </w:pPr>
            <w:r>
              <w:rPr>
                <w:color w:val="0070C0"/>
                <w:sz w:val="24"/>
                <w:szCs w:val="20"/>
              </w:rPr>
              <w:t>Ramón D</w:t>
            </w:r>
            <w:r w:rsidR="00FA1DEB">
              <w:rPr>
                <w:color w:val="0070C0"/>
                <w:sz w:val="24"/>
                <w:szCs w:val="20"/>
              </w:rPr>
              <w:t>.</w:t>
            </w:r>
            <w:r>
              <w:rPr>
                <w:color w:val="0070C0"/>
                <w:sz w:val="24"/>
                <w:szCs w:val="20"/>
              </w:rPr>
              <w:t xml:space="preserve"> Hidalgo González</w:t>
            </w:r>
          </w:p>
          <w:p w:rsidR="00F55221" w:rsidRDefault="00572AF8" w:rsidP="008E6917">
            <w:pPr>
              <w:jc w:val="center"/>
              <w:rPr>
                <w:b w:val="0"/>
                <w:bCs/>
                <w:sz w:val="24"/>
                <w:szCs w:val="20"/>
              </w:rPr>
            </w:pPr>
            <w:r>
              <w:rPr>
                <w:b w:val="0"/>
                <w:bCs/>
                <w:sz w:val="24"/>
                <w:szCs w:val="20"/>
              </w:rPr>
              <w:t>Secretario del Consejo</w:t>
            </w:r>
          </w:p>
          <w:p w:rsidR="00F55221" w:rsidRPr="00A36BC3" w:rsidRDefault="00F55221" w:rsidP="008E6917">
            <w:pPr>
              <w:jc w:val="center"/>
              <w:rPr>
                <w:color w:val="0070C0"/>
                <w:sz w:val="24"/>
                <w:szCs w:val="20"/>
              </w:rPr>
            </w:pPr>
          </w:p>
        </w:tc>
        <w:tc>
          <w:tcPr>
            <w:tcW w:w="299" w:type="dxa"/>
            <w:shd w:val="clear" w:color="auto" w:fill="00B0F0"/>
          </w:tcPr>
          <w:p w:rsidR="00F55221" w:rsidRDefault="00F55221" w:rsidP="008E6917"/>
        </w:tc>
        <w:tc>
          <w:tcPr>
            <w:tcW w:w="4775" w:type="dxa"/>
            <w:shd w:val="clear" w:color="auto" w:fill="DEEAF6" w:themeFill="accent5" w:themeFillTint="33"/>
          </w:tcPr>
          <w:p w:rsidR="00F55221" w:rsidRPr="00A36BC3" w:rsidRDefault="00F55221" w:rsidP="008E6917">
            <w:pPr>
              <w:jc w:val="center"/>
              <w:rPr>
                <w:color w:val="0070C0"/>
                <w:sz w:val="24"/>
                <w:szCs w:val="20"/>
              </w:rPr>
            </w:pPr>
            <w:r>
              <w:rPr>
                <w:color w:val="0070C0"/>
                <w:sz w:val="24"/>
                <w:szCs w:val="20"/>
              </w:rPr>
              <w:t>Miguel Cabrera</w:t>
            </w:r>
            <w:r w:rsidR="00572AF8">
              <w:rPr>
                <w:color w:val="0070C0"/>
                <w:sz w:val="24"/>
                <w:szCs w:val="20"/>
              </w:rPr>
              <w:t xml:space="preserve"> Valdez</w:t>
            </w:r>
          </w:p>
          <w:p w:rsidR="00F55221" w:rsidRDefault="00F55221" w:rsidP="008E6917">
            <w:pPr>
              <w:jc w:val="center"/>
              <w:rPr>
                <w:b w:val="0"/>
                <w:bCs/>
                <w:sz w:val="24"/>
                <w:szCs w:val="20"/>
              </w:rPr>
            </w:pPr>
            <w:r>
              <w:rPr>
                <w:b w:val="0"/>
                <w:bCs/>
                <w:sz w:val="24"/>
                <w:szCs w:val="20"/>
              </w:rPr>
              <w:t xml:space="preserve">Encargado de </w:t>
            </w:r>
            <w:r w:rsidR="00FA1DEB">
              <w:rPr>
                <w:b w:val="0"/>
                <w:bCs/>
                <w:sz w:val="24"/>
                <w:szCs w:val="20"/>
              </w:rPr>
              <w:t>la División</w:t>
            </w:r>
            <w:r>
              <w:rPr>
                <w:b w:val="0"/>
                <w:bCs/>
                <w:sz w:val="24"/>
                <w:szCs w:val="20"/>
              </w:rPr>
              <w:t xml:space="preserve"> Administrativa-Financiera</w:t>
            </w:r>
          </w:p>
          <w:p w:rsidR="00F55221" w:rsidRDefault="00F55221" w:rsidP="008E6917">
            <w:pPr>
              <w:jc w:val="center"/>
            </w:pPr>
          </w:p>
        </w:tc>
      </w:tr>
      <w:tr w:rsidR="00F55221" w:rsidTr="008E6917">
        <w:trPr>
          <w:trHeight w:val="1398"/>
        </w:trPr>
        <w:tc>
          <w:tcPr>
            <w:tcW w:w="4771" w:type="dxa"/>
            <w:shd w:val="clear" w:color="auto" w:fill="DEEAF6" w:themeFill="accent5" w:themeFillTint="33"/>
          </w:tcPr>
          <w:p w:rsidR="00F55221" w:rsidRPr="00A36BC3" w:rsidRDefault="00F55221" w:rsidP="008E6917">
            <w:pPr>
              <w:jc w:val="center"/>
              <w:rPr>
                <w:color w:val="0070C0"/>
                <w:sz w:val="24"/>
                <w:szCs w:val="20"/>
              </w:rPr>
            </w:pPr>
            <w:r w:rsidRPr="00A36BC3">
              <w:rPr>
                <w:color w:val="0070C0"/>
                <w:sz w:val="24"/>
                <w:szCs w:val="20"/>
              </w:rPr>
              <w:t>Eduardo Martínez Lima</w:t>
            </w:r>
          </w:p>
          <w:p w:rsidR="00F55221" w:rsidRDefault="00F55221" w:rsidP="008E6917">
            <w:pPr>
              <w:jc w:val="center"/>
              <w:rPr>
                <w:b w:val="0"/>
                <w:bCs/>
                <w:sz w:val="24"/>
                <w:szCs w:val="20"/>
              </w:rPr>
            </w:pPr>
            <w:r w:rsidRPr="00A36BC3">
              <w:rPr>
                <w:b w:val="0"/>
                <w:bCs/>
                <w:sz w:val="24"/>
                <w:szCs w:val="20"/>
              </w:rPr>
              <w:t>Miembro</w:t>
            </w:r>
            <w:r>
              <w:rPr>
                <w:b w:val="0"/>
                <w:bCs/>
                <w:sz w:val="24"/>
                <w:szCs w:val="20"/>
              </w:rPr>
              <w:t>,</w:t>
            </w:r>
            <w:r w:rsidRPr="00A36BC3">
              <w:rPr>
                <w:b w:val="0"/>
                <w:bCs/>
                <w:sz w:val="24"/>
                <w:szCs w:val="20"/>
              </w:rPr>
              <w:t xml:space="preserve"> Representante del Central Romana Corporation</w:t>
            </w:r>
            <w:r w:rsidR="00572AF8">
              <w:rPr>
                <w:b w:val="0"/>
                <w:bCs/>
                <w:sz w:val="24"/>
                <w:szCs w:val="20"/>
              </w:rPr>
              <w:t>, Ltd.</w:t>
            </w:r>
          </w:p>
          <w:p w:rsidR="004F0133" w:rsidRDefault="004F0133" w:rsidP="008E6917">
            <w:pPr>
              <w:jc w:val="center"/>
              <w:rPr>
                <w:b w:val="0"/>
                <w:bCs/>
                <w:sz w:val="24"/>
                <w:szCs w:val="20"/>
              </w:rPr>
            </w:pPr>
          </w:p>
          <w:p w:rsidR="00F55221" w:rsidRDefault="00F55221" w:rsidP="008E6917">
            <w:pPr>
              <w:jc w:val="center"/>
            </w:pPr>
          </w:p>
        </w:tc>
        <w:tc>
          <w:tcPr>
            <w:tcW w:w="299" w:type="dxa"/>
            <w:shd w:val="clear" w:color="auto" w:fill="00B0F0"/>
          </w:tcPr>
          <w:p w:rsidR="00F55221" w:rsidRDefault="00F55221" w:rsidP="008E6917"/>
        </w:tc>
        <w:tc>
          <w:tcPr>
            <w:tcW w:w="4775" w:type="dxa"/>
            <w:shd w:val="clear" w:color="auto" w:fill="DEEAF6" w:themeFill="accent5" w:themeFillTint="33"/>
          </w:tcPr>
          <w:p w:rsidR="00F55221" w:rsidRPr="00A36BC3" w:rsidRDefault="00F55221" w:rsidP="008E6917">
            <w:pPr>
              <w:jc w:val="center"/>
              <w:rPr>
                <w:color w:val="0070C0"/>
                <w:sz w:val="24"/>
                <w:szCs w:val="20"/>
              </w:rPr>
            </w:pPr>
            <w:r>
              <w:rPr>
                <w:color w:val="0070C0"/>
                <w:sz w:val="24"/>
                <w:szCs w:val="20"/>
              </w:rPr>
              <w:t>Arsenio Mercado</w:t>
            </w:r>
          </w:p>
          <w:p w:rsidR="00F55221" w:rsidRDefault="00F55221" w:rsidP="008E6917">
            <w:pPr>
              <w:jc w:val="center"/>
            </w:pPr>
            <w:r>
              <w:rPr>
                <w:b w:val="0"/>
                <w:bCs/>
                <w:sz w:val="24"/>
                <w:szCs w:val="20"/>
              </w:rPr>
              <w:t>Encargado de la Sección Jurídica</w:t>
            </w:r>
          </w:p>
        </w:tc>
      </w:tr>
      <w:tr w:rsidR="00F55221" w:rsidTr="008E6917">
        <w:trPr>
          <w:trHeight w:val="1145"/>
        </w:trPr>
        <w:tc>
          <w:tcPr>
            <w:tcW w:w="4771" w:type="dxa"/>
            <w:shd w:val="clear" w:color="auto" w:fill="DEEAF6" w:themeFill="accent5" w:themeFillTint="33"/>
          </w:tcPr>
          <w:p w:rsidR="00F55221" w:rsidRPr="008A1E53" w:rsidRDefault="00F55221" w:rsidP="004E606C">
            <w:pPr>
              <w:jc w:val="center"/>
              <w:rPr>
                <w:color w:val="0070C0"/>
                <w:sz w:val="24"/>
                <w:szCs w:val="20"/>
              </w:rPr>
            </w:pPr>
            <w:r w:rsidRPr="008A1E53">
              <w:rPr>
                <w:color w:val="0070C0"/>
                <w:sz w:val="24"/>
                <w:szCs w:val="20"/>
              </w:rPr>
              <w:t>Felipe A. Vicini Llu</w:t>
            </w:r>
            <w:r>
              <w:rPr>
                <w:color w:val="0070C0"/>
                <w:sz w:val="24"/>
                <w:szCs w:val="20"/>
              </w:rPr>
              <w:t>b</w:t>
            </w:r>
            <w:r w:rsidRPr="008A1E53">
              <w:rPr>
                <w:color w:val="0070C0"/>
                <w:sz w:val="24"/>
                <w:szCs w:val="20"/>
              </w:rPr>
              <w:t>eres</w:t>
            </w:r>
          </w:p>
          <w:p w:rsidR="00F55221" w:rsidRDefault="00F55221" w:rsidP="004E606C">
            <w:pPr>
              <w:jc w:val="center"/>
              <w:rPr>
                <w:b w:val="0"/>
                <w:bCs/>
                <w:sz w:val="24"/>
                <w:szCs w:val="20"/>
              </w:rPr>
            </w:pPr>
            <w:r w:rsidRPr="008A1E53">
              <w:rPr>
                <w:b w:val="0"/>
                <w:bCs/>
                <w:sz w:val="24"/>
                <w:szCs w:val="20"/>
              </w:rPr>
              <w:t xml:space="preserve">Miembro, Representante </w:t>
            </w:r>
            <w:r w:rsidR="00572AF8">
              <w:rPr>
                <w:b w:val="0"/>
                <w:bCs/>
                <w:sz w:val="24"/>
                <w:szCs w:val="20"/>
              </w:rPr>
              <w:t>Inicia -Cae</w:t>
            </w:r>
            <w:r w:rsidR="008E6917">
              <w:rPr>
                <w:b w:val="0"/>
                <w:bCs/>
                <w:sz w:val="24"/>
                <w:szCs w:val="20"/>
              </w:rPr>
              <w:t>i</w:t>
            </w:r>
          </w:p>
          <w:p w:rsidR="008E6917" w:rsidRDefault="008E6917" w:rsidP="004E606C">
            <w:pPr>
              <w:jc w:val="center"/>
              <w:rPr>
                <w:b w:val="0"/>
                <w:bCs/>
                <w:sz w:val="24"/>
                <w:szCs w:val="20"/>
              </w:rPr>
            </w:pPr>
          </w:p>
          <w:p w:rsidR="004F0133" w:rsidRDefault="004F0133" w:rsidP="004E606C">
            <w:pPr>
              <w:jc w:val="center"/>
            </w:pPr>
          </w:p>
          <w:p w:rsidR="004F0133" w:rsidRPr="008A1E53" w:rsidRDefault="00FA1DEB" w:rsidP="004E606C">
            <w:pPr>
              <w:jc w:val="center"/>
              <w:rPr>
                <w:color w:val="0070C0"/>
                <w:sz w:val="24"/>
                <w:szCs w:val="20"/>
              </w:rPr>
            </w:pPr>
            <w:r>
              <w:rPr>
                <w:color w:val="0070C0"/>
                <w:sz w:val="24"/>
                <w:szCs w:val="20"/>
              </w:rPr>
              <w:t>Virgilio</w:t>
            </w:r>
            <w:r w:rsidR="004F0133">
              <w:rPr>
                <w:color w:val="0070C0"/>
                <w:sz w:val="24"/>
                <w:szCs w:val="20"/>
              </w:rPr>
              <w:t xml:space="preserve"> Pérez</w:t>
            </w:r>
            <w:r>
              <w:rPr>
                <w:color w:val="0070C0"/>
                <w:sz w:val="24"/>
                <w:szCs w:val="20"/>
              </w:rPr>
              <w:t>-</w:t>
            </w:r>
            <w:r w:rsidR="004F0133">
              <w:rPr>
                <w:color w:val="0070C0"/>
                <w:sz w:val="24"/>
                <w:szCs w:val="20"/>
              </w:rPr>
              <w:t>Bernal</w:t>
            </w:r>
            <w:r>
              <w:rPr>
                <w:color w:val="0070C0"/>
                <w:sz w:val="24"/>
                <w:szCs w:val="20"/>
              </w:rPr>
              <w:t xml:space="preserve"> González</w:t>
            </w:r>
          </w:p>
          <w:p w:rsidR="004F0133" w:rsidRDefault="00FA1DEB" w:rsidP="004E606C">
            <w:pPr>
              <w:jc w:val="center"/>
              <w:rPr>
                <w:b w:val="0"/>
                <w:bCs/>
                <w:sz w:val="24"/>
                <w:szCs w:val="20"/>
              </w:rPr>
            </w:pPr>
            <w:r>
              <w:rPr>
                <w:b w:val="0"/>
                <w:bCs/>
                <w:sz w:val="24"/>
                <w:szCs w:val="20"/>
              </w:rPr>
              <w:t>Invitado Especial</w:t>
            </w:r>
            <w:r w:rsidR="004F0133" w:rsidRPr="008A1E53">
              <w:rPr>
                <w:b w:val="0"/>
                <w:bCs/>
                <w:sz w:val="24"/>
                <w:szCs w:val="20"/>
              </w:rPr>
              <w:t>, Representante</w:t>
            </w:r>
            <w:r>
              <w:rPr>
                <w:b w:val="0"/>
                <w:bCs/>
                <w:sz w:val="24"/>
                <w:szCs w:val="20"/>
              </w:rPr>
              <w:t xml:space="preserve"> del Ingenio Barahona</w:t>
            </w:r>
          </w:p>
          <w:p w:rsidR="004F0133" w:rsidRDefault="004F0133" w:rsidP="004E606C">
            <w:pPr>
              <w:jc w:val="center"/>
            </w:pPr>
          </w:p>
        </w:tc>
        <w:tc>
          <w:tcPr>
            <w:tcW w:w="299" w:type="dxa"/>
            <w:shd w:val="clear" w:color="auto" w:fill="00B0F0"/>
          </w:tcPr>
          <w:p w:rsidR="00F55221" w:rsidRDefault="00F55221" w:rsidP="004E606C"/>
        </w:tc>
        <w:tc>
          <w:tcPr>
            <w:tcW w:w="4775" w:type="dxa"/>
            <w:shd w:val="clear" w:color="auto" w:fill="DEEAF6" w:themeFill="accent5" w:themeFillTint="33"/>
          </w:tcPr>
          <w:p w:rsidR="00F55221" w:rsidRPr="00F55221" w:rsidRDefault="005A77B6" w:rsidP="004E606C">
            <w:pPr>
              <w:jc w:val="center"/>
              <w:rPr>
                <w:color w:val="0070C0"/>
                <w:sz w:val="24"/>
                <w:szCs w:val="20"/>
              </w:rPr>
            </w:pPr>
            <w:r>
              <w:rPr>
                <w:color w:val="0070C0"/>
                <w:sz w:val="24"/>
                <w:szCs w:val="20"/>
              </w:rPr>
              <w:t>Glin</w:t>
            </w:r>
            <w:r w:rsidR="004F0133">
              <w:rPr>
                <w:color w:val="0070C0"/>
                <w:sz w:val="24"/>
                <w:szCs w:val="20"/>
              </w:rPr>
              <w:t>n</w:t>
            </w:r>
            <w:r>
              <w:rPr>
                <w:color w:val="0070C0"/>
                <w:sz w:val="24"/>
                <w:szCs w:val="20"/>
              </w:rPr>
              <w:t>ys</w:t>
            </w:r>
            <w:r w:rsidR="004F0133">
              <w:rPr>
                <w:color w:val="0070C0"/>
                <w:sz w:val="24"/>
                <w:szCs w:val="20"/>
              </w:rPr>
              <w:t>s</w:t>
            </w:r>
            <w:r>
              <w:rPr>
                <w:color w:val="0070C0"/>
                <w:sz w:val="24"/>
                <w:szCs w:val="20"/>
              </w:rPr>
              <w:t xml:space="preserve"> Pérez</w:t>
            </w:r>
            <w:r w:rsidR="004F0133">
              <w:rPr>
                <w:color w:val="0070C0"/>
                <w:sz w:val="24"/>
                <w:szCs w:val="20"/>
              </w:rPr>
              <w:t xml:space="preserve"> Figueroa</w:t>
            </w:r>
          </w:p>
          <w:p w:rsidR="00F55221" w:rsidRDefault="005A77B6" w:rsidP="004E606C">
            <w:pPr>
              <w:jc w:val="center"/>
              <w:rPr>
                <w:b w:val="0"/>
                <w:bCs/>
                <w:sz w:val="24"/>
                <w:szCs w:val="20"/>
              </w:rPr>
            </w:pPr>
            <w:r w:rsidRPr="005A77B6">
              <w:rPr>
                <w:b w:val="0"/>
                <w:bCs/>
                <w:sz w:val="24"/>
                <w:szCs w:val="20"/>
              </w:rPr>
              <w:t>Encargada de la Sección de Comunicación</w:t>
            </w:r>
          </w:p>
          <w:p w:rsidR="008E6917" w:rsidRDefault="008E6917" w:rsidP="004E606C">
            <w:pPr>
              <w:jc w:val="center"/>
            </w:pPr>
          </w:p>
        </w:tc>
      </w:tr>
      <w:tr w:rsidR="004F0133" w:rsidTr="008E6917">
        <w:trPr>
          <w:trHeight w:val="1136"/>
        </w:trPr>
        <w:tc>
          <w:tcPr>
            <w:tcW w:w="4771" w:type="dxa"/>
            <w:shd w:val="clear" w:color="auto" w:fill="DEEAF6" w:themeFill="accent5" w:themeFillTint="33"/>
          </w:tcPr>
          <w:p w:rsidR="004F0133" w:rsidRPr="008A1E53" w:rsidRDefault="00FA1DEB" w:rsidP="004E606C">
            <w:pPr>
              <w:jc w:val="center"/>
              <w:rPr>
                <w:color w:val="0070C0"/>
                <w:sz w:val="24"/>
                <w:szCs w:val="20"/>
              </w:rPr>
            </w:pPr>
            <w:r>
              <w:rPr>
                <w:color w:val="0070C0"/>
                <w:sz w:val="24"/>
                <w:szCs w:val="20"/>
              </w:rPr>
              <w:t>Arsenio Soriano</w:t>
            </w:r>
          </w:p>
          <w:p w:rsidR="004F0133" w:rsidRDefault="004F0133" w:rsidP="004E606C">
            <w:pPr>
              <w:jc w:val="center"/>
              <w:rPr>
                <w:b w:val="0"/>
                <w:bCs/>
                <w:sz w:val="24"/>
                <w:szCs w:val="20"/>
              </w:rPr>
            </w:pPr>
            <w:r w:rsidRPr="008A1E53">
              <w:rPr>
                <w:b w:val="0"/>
                <w:bCs/>
                <w:sz w:val="24"/>
                <w:szCs w:val="20"/>
              </w:rPr>
              <w:t xml:space="preserve">Miembro, Representante </w:t>
            </w:r>
            <w:r>
              <w:rPr>
                <w:b w:val="0"/>
                <w:bCs/>
                <w:sz w:val="24"/>
                <w:szCs w:val="20"/>
              </w:rPr>
              <w:t>de los Colonos de Caña</w:t>
            </w:r>
          </w:p>
          <w:p w:rsidR="004F0133" w:rsidRDefault="004F0133" w:rsidP="004E606C">
            <w:pPr>
              <w:jc w:val="center"/>
            </w:pPr>
          </w:p>
        </w:tc>
        <w:tc>
          <w:tcPr>
            <w:tcW w:w="299" w:type="dxa"/>
            <w:shd w:val="clear" w:color="auto" w:fill="00B0F0"/>
          </w:tcPr>
          <w:p w:rsidR="004F0133" w:rsidRDefault="004F0133" w:rsidP="004E606C"/>
        </w:tc>
        <w:tc>
          <w:tcPr>
            <w:tcW w:w="4775" w:type="dxa"/>
            <w:shd w:val="clear" w:color="auto" w:fill="DEEAF6" w:themeFill="accent5" w:themeFillTint="33"/>
          </w:tcPr>
          <w:p w:rsidR="004F0133" w:rsidRDefault="004F0133" w:rsidP="004E606C">
            <w:pPr>
              <w:jc w:val="center"/>
              <w:rPr>
                <w:color w:val="0070C0"/>
                <w:sz w:val="24"/>
                <w:szCs w:val="20"/>
              </w:rPr>
            </w:pPr>
          </w:p>
          <w:p w:rsidR="004F0133" w:rsidRPr="00A36BC3" w:rsidRDefault="009D6F23" w:rsidP="004E606C">
            <w:pPr>
              <w:jc w:val="center"/>
              <w:rPr>
                <w:color w:val="0070C0"/>
                <w:sz w:val="24"/>
                <w:szCs w:val="20"/>
              </w:rPr>
            </w:pPr>
            <w:r>
              <w:rPr>
                <w:color w:val="0070C0"/>
                <w:sz w:val="24"/>
                <w:szCs w:val="20"/>
              </w:rPr>
              <w:t>Johnny</w:t>
            </w:r>
            <w:r w:rsidR="004F0133">
              <w:rPr>
                <w:color w:val="0070C0"/>
                <w:sz w:val="24"/>
                <w:szCs w:val="20"/>
              </w:rPr>
              <w:t xml:space="preserve"> Lorenzo Alcántara</w:t>
            </w:r>
          </w:p>
          <w:p w:rsidR="004F0133" w:rsidRDefault="004F0133" w:rsidP="004E606C">
            <w:pPr>
              <w:jc w:val="center"/>
              <w:rPr>
                <w:b w:val="0"/>
                <w:bCs/>
                <w:sz w:val="24"/>
                <w:szCs w:val="20"/>
              </w:rPr>
            </w:pPr>
            <w:r>
              <w:rPr>
                <w:b w:val="0"/>
                <w:bCs/>
                <w:sz w:val="24"/>
                <w:szCs w:val="20"/>
              </w:rPr>
              <w:t>Analista de Desarrollo Institucional</w:t>
            </w:r>
          </w:p>
          <w:p w:rsidR="004F0133" w:rsidRDefault="004F0133" w:rsidP="004E606C">
            <w:pPr>
              <w:jc w:val="center"/>
            </w:pPr>
          </w:p>
        </w:tc>
      </w:tr>
      <w:tr w:rsidR="004F0133" w:rsidTr="008E6917">
        <w:trPr>
          <w:trHeight w:val="638"/>
        </w:trPr>
        <w:tc>
          <w:tcPr>
            <w:tcW w:w="4771" w:type="dxa"/>
            <w:shd w:val="clear" w:color="auto" w:fill="DEEAF6" w:themeFill="accent5" w:themeFillTint="33"/>
          </w:tcPr>
          <w:p w:rsidR="004F0133" w:rsidRDefault="004F0133" w:rsidP="008E6917">
            <w:pPr>
              <w:jc w:val="center"/>
              <w:rPr>
                <w:color w:val="0070C0"/>
                <w:sz w:val="24"/>
                <w:szCs w:val="20"/>
              </w:rPr>
            </w:pPr>
            <w:r>
              <w:rPr>
                <w:color w:val="0070C0"/>
                <w:sz w:val="24"/>
                <w:szCs w:val="20"/>
              </w:rPr>
              <w:t>Mario Figueroa</w:t>
            </w:r>
          </w:p>
          <w:p w:rsidR="004F0133" w:rsidRDefault="004F0133" w:rsidP="008E6917">
            <w:pPr>
              <w:jc w:val="center"/>
            </w:pPr>
            <w:r w:rsidRPr="00F55221">
              <w:rPr>
                <w:b w:val="0"/>
                <w:bCs/>
                <w:sz w:val="24"/>
                <w:szCs w:val="20"/>
              </w:rPr>
              <w:t>Miembro, Representante de los Trabajadores de la Industria Azucarera</w:t>
            </w:r>
          </w:p>
        </w:tc>
        <w:tc>
          <w:tcPr>
            <w:tcW w:w="299" w:type="dxa"/>
            <w:shd w:val="clear" w:color="auto" w:fill="00B0F0"/>
          </w:tcPr>
          <w:p w:rsidR="004F0133" w:rsidRDefault="004F0133" w:rsidP="008E6917"/>
        </w:tc>
        <w:tc>
          <w:tcPr>
            <w:tcW w:w="4775" w:type="dxa"/>
            <w:shd w:val="clear" w:color="auto" w:fill="DEEAF6" w:themeFill="accent5" w:themeFillTint="33"/>
          </w:tcPr>
          <w:p w:rsidR="004F0133" w:rsidRDefault="004F0133" w:rsidP="008E6917">
            <w:pPr>
              <w:jc w:val="center"/>
            </w:pPr>
          </w:p>
        </w:tc>
      </w:tr>
      <w:tr w:rsidR="004F0133" w:rsidTr="004E606C">
        <w:trPr>
          <w:trHeight w:val="121"/>
        </w:trPr>
        <w:tc>
          <w:tcPr>
            <w:tcW w:w="4771" w:type="dxa"/>
            <w:shd w:val="clear" w:color="auto" w:fill="DEEAF6" w:themeFill="accent5" w:themeFillTint="33"/>
          </w:tcPr>
          <w:p w:rsidR="004F0133" w:rsidRDefault="004F0133" w:rsidP="008E6917">
            <w:pPr>
              <w:jc w:val="center"/>
              <w:rPr>
                <w:color w:val="0070C0"/>
                <w:sz w:val="24"/>
                <w:szCs w:val="20"/>
              </w:rPr>
            </w:pPr>
          </w:p>
        </w:tc>
        <w:tc>
          <w:tcPr>
            <w:tcW w:w="299" w:type="dxa"/>
            <w:shd w:val="clear" w:color="auto" w:fill="00B0F0"/>
          </w:tcPr>
          <w:p w:rsidR="004F0133" w:rsidRDefault="004F0133" w:rsidP="008E6917"/>
        </w:tc>
        <w:tc>
          <w:tcPr>
            <w:tcW w:w="4775" w:type="dxa"/>
            <w:shd w:val="clear" w:color="auto" w:fill="DEEAF6" w:themeFill="accent5" w:themeFillTint="33"/>
          </w:tcPr>
          <w:p w:rsidR="004F0133" w:rsidRDefault="004F0133" w:rsidP="008E6917">
            <w:pPr>
              <w:jc w:val="center"/>
            </w:pPr>
          </w:p>
        </w:tc>
      </w:tr>
      <w:tr w:rsidR="004F0133" w:rsidTr="008E6917">
        <w:trPr>
          <w:trHeight w:val="320"/>
        </w:trPr>
        <w:tc>
          <w:tcPr>
            <w:tcW w:w="4771" w:type="dxa"/>
            <w:shd w:val="clear" w:color="auto" w:fill="DEEAF6" w:themeFill="accent5" w:themeFillTint="33"/>
          </w:tcPr>
          <w:p w:rsidR="004F0133" w:rsidRDefault="004F0133" w:rsidP="00DD04C3">
            <w:pPr>
              <w:jc w:val="center"/>
              <w:rPr>
                <w:color w:val="0070C0"/>
                <w:sz w:val="24"/>
                <w:szCs w:val="20"/>
              </w:rPr>
            </w:pPr>
          </w:p>
        </w:tc>
        <w:tc>
          <w:tcPr>
            <w:tcW w:w="299" w:type="dxa"/>
            <w:shd w:val="clear" w:color="auto" w:fill="00B0F0"/>
          </w:tcPr>
          <w:p w:rsidR="004F0133" w:rsidRDefault="004F0133" w:rsidP="001115A6"/>
        </w:tc>
        <w:tc>
          <w:tcPr>
            <w:tcW w:w="4775" w:type="dxa"/>
            <w:shd w:val="clear" w:color="auto" w:fill="DEEAF6" w:themeFill="accent5" w:themeFillTint="33"/>
          </w:tcPr>
          <w:p w:rsidR="004F0133" w:rsidRDefault="004F0133" w:rsidP="00DD04C3">
            <w:pPr>
              <w:jc w:val="center"/>
            </w:pPr>
          </w:p>
        </w:tc>
      </w:tr>
    </w:tbl>
    <w:p w:rsidR="001A11F6" w:rsidRDefault="001A11F6" w:rsidP="001115A6"/>
    <w:p w:rsidR="00A36BC3" w:rsidRDefault="00A36BC3" w:rsidP="001115A6"/>
    <w:p w:rsidR="00102C17" w:rsidRDefault="00102C17" w:rsidP="00E47275">
      <w:pPr>
        <w:pStyle w:val="Ttulo1"/>
        <w:numPr>
          <w:ilvl w:val="0"/>
          <w:numId w:val="0"/>
        </w:numPr>
      </w:pPr>
      <w:bookmarkStart w:id="1" w:name="_Toc80090941"/>
      <w:bookmarkStart w:id="2" w:name="_Toc80177686"/>
      <w:r>
        <w:t>CARTA DEL DIRECTOR</w:t>
      </w:r>
      <w:bookmarkEnd w:id="1"/>
      <w:bookmarkEnd w:id="2"/>
    </w:p>
    <w:p w:rsidR="001115A6" w:rsidRDefault="001115A6" w:rsidP="003719C1">
      <w:pPr>
        <w:spacing w:after="0" w:line="360" w:lineRule="auto"/>
        <w:rPr>
          <w:b w:val="0"/>
          <w:bCs/>
          <w:sz w:val="24"/>
          <w:szCs w:val="24"/>
        </w:rPr>
      </w:pPr>
    </w:p>
    <w:p w:rsidR="003719C1" w:rsidRPr="003719C1" w:rsidRDefault="003719C1" w:rsidP="003719C1">
      <w:pPr>
        <w:spacing w:after="0" w:line="360" w:lineRule="auto"/>
        <w:rPr>
          <w:b w:val="0"/>
          <w:sz w:val="24"/>
          <w:szCs w:val="24"/>
        </w:rPr>
      </w:pPr>
      <w:r w:rsidRPr="003719C1">
        <w:rPr>
          <w:b w:val="0"/>
          <w:sz w:val="24"/>
          <w:szCs w:val="24"/>
        </w:rPr>
        <w:t xml:space="preserve">La promesa de gobierno del presidente Luis Abinader y el Partido Revolucionario </w:t>
      </w:r>
      <w:r w:rsidR="008F5909">
        <w:rPr>
          <w:b w:val="0"/>
          <w:sz w:val="24"/>
          <w:szCs w:val="24"/>
        </w:rPr>
        <w:t>Moderno</w:t>
      </w:r>
      <w:r w:rsidRPr="003719C1">
        <w:rPr>
          <w:b w:val="0"/>
          <w:sz w:val="24"/>
          <w:szCs w:val="24"/>
        </w:rPr>
        <w:t xml:space="preserve"> (PRM)</w:t>
      </w:r>
      <w:r w:rsidR="008F5909">
        <w:rPr>
          <w:b w:val="0"/>
          <w:sz w:val="24"/>
          <w:szCs w:val="24"/>
        </w:rPr>
        <w:t>,</w:t>
      </w:r>
      <w:r w:rsidRPr="003719C1">
        <w:rPr>
          <w:b w:val="0"/>
          <w:sz w:val="24"/>
          <w:szCs w:val="24"/>
        </w:rPr>
        <w:t xml:space="preserve"> se ha fundamentado en producir un cambio. Es por ello por lo que, ha sido denominado el Gobierno del Cambio. Esa oferta gubernamental se cristaliza en el ejercicio de un gobierno eficiente que se desarrolla sobre cimientos de una gestión moderna y basada en resultados, pero, sobre todo, honesta y transparente.</w:t>
      </w:r>
    </w:p>
    <w:p w:rsidR="003719C1" w:rsidRPr="003719C1" w:rsidRDefault="003719C1" w:rsidP="003719C1">
      <w:pPr>
        <w:spacing w:after="0" w:line="360" w:lineRule="auto"/>
        <w:rPr>
          <w:b w:val="0"/>
          <w:sz w:val="24"/>
          <w:szCs w:val="24"/>
        </w:rPr>
      </w:pPr>
    </w:p>
    <w:p w:rsidR="003719C1" w:rsidRPr="003719C1" w:rsidRDefault="003719C1" w:rsidP="003719C1">
      <w:pPr>
        <w:spacing w:after="0" w:line="360" w:lineRule="auto"/>
        <w:rPr>
          <w:b w:val="0"/>
          <w:sz w:val="24"/>
          <w:szCs w:val="24"/>
        </w:rPr>
      </w:pPr>
      <w:r w:rsidRPr="003719C1">
        <w:rPr>
          <w:b w:val="0"/>
          <w:sz w:val="24"/>
          <w:szCs w:val="24"/>
        </w:rPr>
        <w:t>Para contribuir con el cambio propuesto, las instituciones del gobierno central están compelidas a organizar su gestión acorde con el marco legal vigente y, en el caso que nos ocupa, las Leyes No. No. 498-06 de Planificación e Inversión Pública y la No. 1-12 de Estrategia Nacional de Desarrollo 2020-203. Ambas legislaciones disponen la formulación de Planes Estratégicos Institucionales, alineados con la visión nacional al año 2030.</w:t>
      </w:r>
    </w:p>
    <w:p w:rsidR="003719C1" w:rsidRPr="003719C1" w:rsidRDefault="003719C1" w:rsidP="003719C1">
      <w:pPr>
        <w:spacing w:after="0" w:line="360" w:lineRule="auto"/>
        <w:rPr>
          <w:b w:val="0"/>
          <w:sz w:val="24"/>
          <w:szCs w:val="24"/>
        </w:rPr>
      </w:pPr>
    </w:p>
    <w:p w:rsidR="003719C1" w:rsidRPr="003719C1" w:rsidRDefault="003719C1" w:rsidP="003719C1">
      <w:pPr>
        <w:spacing w:after="0" w:line="360" w:lineRule="auto"/>
        <w:rPr>
          <w:b w:val="0"/>
          <w:sz w:val="24"/>
          <w:szCs w:val="24"/>
        </w:rPr>
      </w:pPr>
      <w:r w:rsidRPr="003719C1">
        <w:rPr>
          <w:b w:val="0"/>
          <w:sz w:val="24"/>
          <w:szCs w:val="24"/>
        </w:rPr>
        <w:t>Al juramentarnos como director ejecutivo del Instituto Azucarero Dominicano (INAZUCAR), la institución carecía de este y otros importantes instrumentos de gestión. Movidos por la fuerza de la promesa de cambio, conformamos la División de Planificación y Desarrollo, instruyendo a dicha unidad organizativa, con carácter de alta prioridad e interés institucional, la Formulación del Plan Estratégico Institucional 2021-2024 (PEI-2024).</w:t>
      </w:r>
    </w:p>
    <w:p w:rsidR="003719C1" w:rsidRPr="003719C1" w:rsidRDefault="003719C1" w:rsidP="003719C1">
      <w:pPr>
        <w:spacing w:after="0" w:line="360" w:lineRule="auto"/>
        <w:rPr>
          <w:b w:val="0"/>
          <w:sz w:val="24"/>
          <w:szCs w:val="24"/>
        </w:rPr>
      </w:pPr>
    </w:p>
    <w:p w:rsidR="003719C1" w:rsidRPr="003719C1" w:rsidRDefault="003719C1" w:rsidP="003719C1">
      <w:pPr>
        <w:spacing w:after="0" w:line="360" w:lineRule="auto"/>
        <w:rPr>
          <w:b w:val="0"/>
          <w:sz w:val="24"/>
          <w:szCs w:val="24"/>
        </w:rPr>
      </w:pPr>
      <w:r w:rsidRPr="003719C1">
        <w:rPr>
          <w:b w:val="0"/>
          <w:sz w:val="24"/>
          <w:szCs w:val="24"/>
        </w:rPr>
        <w:t xml:space="preserve">El PEI 2024 constituye nuestra guía, nuestra brújula, nuestro mapa que nos conducirá por el trayecto que transitaremos durante los próximos cuatro años, hasta cristalizar las aspiraciones de la sociedad y la promesa de cambio de nuestro </w:t>
      </w:r>
      <w:r w:rsidR="004E606C" w:rsidRPr="003719C1">
        <w:rPr>
          <w:b w:val="0"/>
          <w:sz w:val="24"/>
          <w:szCs w:val="24"/>
        </w:rPr>
        <w:t>presidente</w:t>
      </w:r>
      <w:r w:rsidRPr="003719C1">
        <w:rPr>
          <w:b w:val="0"/>
          <w:sz w:val="24"/>
          <w:szCs w:val="24"/>
        </w:rPr>
        <w:t xml:space="preserve">, de manera específica, en el sector azucarero. </w:t>
      </w:r>
    </w:p>
    <w:p w:rsidR="003719C1" w:rsidRPr="003719C1" w:rsidRDefault="003719C1" w:rsidP="003719C1">
      <w:pPr>
        <w:spacing w:after="0" w:line="360" w:lineRule="auto"/>
        <w:rPr>
          <w:b w:val="0"/>
          <w:sz w:val="24"/>
          <w:szCs w:val="24"/>
        </w:rPr>
      </w:pPr>
    </w:p>
    <w:p w:rsidR="009D6F23" w:rsidRDefault="003719C1" w:rsidP="003719C1">
      <w:pPr>
        <w:spacing w:after="0" w:line="360" w:lineRule="auto"/>
        <w:rPr>
          <w:b w:val="0"/>
          <w:sz w:val="24"/>
          <w:szCs w:val="24"/>
        </w:rPr>
      </w:pPr>
      <w:bookmarkStart w:id="3" w:name="_Hlk80098526"/>
      <w:r w:rsidRPr="003719C1">
        <w:rPr>
          <w:b w:val="0"/>
          <w:sz w:val="24"/>
          <w:szCs w:val="24"/>
        </w:rPr>
        <w:t xml:space="preserve">Con la mira puesta en el año 2024, nuestra visión cuatrienal nos conduce a: “Ser una institución pública con elevados niveles de calidad, eficiencia y transparencia; que responde equilibrada, equitativa y oportunamente a las necesidades de los diferentes actores del sector azucarero, así como a los requerimientos del mercado nacional e internacional; técnicamente competitiva, </w:t>
      </w:r>
      <w:r w:rsidRPr="003719C1">
        <w:rPr>
          <w:b w:val="0"/>
          <w:sz w:val="24"/>
          <w:szCs w:val="24"/>
        </w:rPr>
        <w:lastRenderedPageBreak/>
        <w:t>tanto en el país como en el marco de los organismos internacionales; y, que promueve la sostenibilidad ambiental, social y económica”</w:t>
      </w:r>
      <w:r w:rsidR="009D6F23">
        <w:rPr>
          <w:b w:val="0"/>
          <w:sz w:val="24"/>
          <w:szCs w:val="24"/>
        </w:rPr>
        <w:t>.</w:t>
      </w:r>
    </w:p>
    <w:p w:rsidR="009D6F23" w:rsidRDefault="009D6F23" w:rsidP="003719C1">
      <w:pPr>
        <w:spacing w:after="0" w:line="360" w:lineRule="auto"/>
        <w:rPr>
          <w:b w:val="0"/>
          <w:sz w:val="24"/>
          <w:szCs w:val="24"/>
        </w:rPr>
      </w:pPr>
    </w:p>
    <w:p w:rsidR="003719C1" w:rsidRPr="003719C1" w:rsidRDefault="003719C1" w:rsidP="003719C1">
      <w:pPr>
        <w:spacing w:after="0" w:line="360" w:lineRule="auto"/>
        <w:rPr>
          <w:b w:val="0"/>
          <w:sz w:val="24"/>
          <w:szCs w:val="24"/>
        </w:rPr>
      </w:pPr>
      <w:r w:rsidRPr="003719C1">
        <w:rPr>
          <w:b w:val="0"/>
          <w:sz w:val="24"/>
          <w:szCs w:val="24"/>
        </w:rPr>
        <w:t>Con la ruta que hemos decido transitar hasta llegar a la Visión 2024, estaremos aportando sustancialmente al logro de nuestra Misión, cuya aspiración consiste en: “Contribuir con la seguridad y la soberanía alimentaria de la República Dominicana, así como también con la consolidación de una economía sostenible, por medio del ejercicio de la regulación técnica del sector azucarero; recomendando al Poder Ejecutivo las normas de la política azucarera nacional en todos sus aspectos; velando por el cumplimiento del marco normativo; colaborando con las relaciones internacionales en el marco de la producción y comercialización de productos derivados de la caña de azúcar”.</w:t>
      </w:r>
    </w:p>
    <w:bookmarkEnd w:id="3"/>
    <w:p w:rsidR="003719C1" w:rsidRPr="003719C1" w:rsidRDefault="003719C1" w:rsidP="003719C1">
      <w:pPr>
        <w:spacing w:after="0" w:line="360" w:lineRule="auto"/>
        <w:rPr>
          <w:b w:val="0"/>
          <w:sz w:val="24"/>
          <w:szCs w:val="24"/>
        </w:rPr>
      </w:pPr>
    </w:p>
    <w:p w:rsidR="003719C1" w:rsidRPr="003719C1" w:rsidRDefault="003719C1" w:rsidP="003719C1">
      <w:pPr>
        <w:spacing w:after="0" w:line="360" w:lineRule="auto"/>
        <w:rPr>
          <w:b w:val="0"/>
          <w:sz w:val="24"/>
          <w:szCs w:val="24"/>
        </w:rPr>
      </w:pPr>
      <w:r w:rsidRPr="003719C1">
        <w:rPr>
          <w:b w:val="0"/>
          <w:sz w:val="24"/>
          <w:szCs w:val="24"/>
        </w:rPr>
        <w:t>De manera que, al poner en ejecución el PEI 2024, iniciamos un nuevo viaje, con un recorrido que sabemos no será fácil, pero que nos conducirá al fortalecimiento institucional, permitiendo un óptimo desempeño hacia el logro de las metas consistentes en un aumento en la producción azucarera, azúcar asequible y de calidad para la población, así como un crecimiento sustancial en las exportaciones.</w:t>
      </w:r>
    </w:p>
    <w:p w:rsidR="003719C1" w:rsidRPr="003719C1" w:rsidRDefault="003719C1" w:rsidP="003719C1">
      <w:pPr>
        <w:spacing w:after="0" w:line="360" w:lineRule="auto"/>
        <w:rPr>
          <w:b w:val="0"/>
          <w:sz w:val="24"/>
          <w:szCs w:val="24"/>
        </w:rPr>
      </w:pPr>
    </w:p>
    <w:p w:rsidR="003719C1" w:rsidRDefault="003719C1" w:rsidP="003719C1">
      <w:pPr>
        <w:spacing w:after="0" w:line="360" w:lineRule="auto"/>
        <w:rPr>
          <w:b w:val="0"/>
          <w:sz w:val="24"/>
          <w:szCs w:val="24"/>
        </w:rPr>
      </w:pPr>
      <w:r w:rsidRPr="003719C1">
        <w:rPr>
          <w:b w:val="0"/>
          <w:sz w:val="24"/>
          <w:szCs w:val="24"/>
        </w:rPr>
        <w:t>Pero hoy, no solo iniciamos el viaje anteriormente mencionado, sino, que iniciamos lo que será una nueva cultura organizacional caracterizada por una gestión orientada a resultados, sustentada en la planificación institucional, la calidad de los procesos y la mejora continua. Ese enfoque normará nuestras decisiones y actuaciones, teniendo como marco de orientación el PEI 20</w:t>
      </w:r>
      <w:r w:rsidR="00DD04C3">
        <w:rPr>
          <w:b w:val="0"/>
          <w:sz w:val="24"/>
          <w:szCs w:val="24"/>
        </w:rPr>
        <w:t>24.</w:t>
      </w:r>
    </w:p>
    <w:p w:rsidR="0041684F" w:rsidRDefault="0041684F" w:rsidP="003719C1">
      <w:pPr>
        <w:spacing w:after="0" w:line="360" w:lineRule="auto"/>
        <w:rPr>
          <w:b w:val="0"/>
          <w:sz w:val="24"/>
          <w:szCs w:val="24"/>
        </w:rPr>
      </w:pPr>
    </w:p>
    <w:p w:rsidR="0041684F" w:rsidRDefault="0041684F" w:rsidP="003719C1">
      <w:pPr>
        <w:spacing w:after="0" w:line="360" w:lineRule="auto"/>
        <w:rPr>
          <w:b w:val="0"/>
          <w:sz w:val="24"/>
          <w:szCs w:val="24"/>
        </w:rPr>
      </w:pPr>
    </w:p>
    <w:p w:rsidR="0041684F" w:rsidRDefault="0041684F" w:rsidP="003719C1">
      <w:pPr>
        <w:spacing w:after="0" w:line="360" w:lineRule="auto"/>
        <w:rPr>
          <w:b w:val="0"/>
          <w:sz w:val="24"/>
          <w:szCs w:val="24"/>
        </w:rPr>
      </w:pPr>
    </w:p>
    <w:p w:rsidR="0041684F" w:rsidRPr="0041684F" w:rsidRDefault="0041684F" w:rsidP="003719C1">
      <w:pPr>
        <w:spacing w:after="0" w:line="360" w:lineRule="auto"/>
        <w:rPr>
          <w:bCs/>
          <w:color w:val="0070C0"/>
          <w:sz w:val="24"/>
          <w:szCs w:val="24"/>
        </w:rPr>
      </w:pPr>
      <w:r w:rsidRPr="0041684F">
        <w:rPr>
          <w:bCs/>
          <w:color w:val="0070C0"/>
          <w:sz w:val="24"/>
          <w:szCs w:val="24"/>
        </w:rPr>
        <w:t>Máximo Pérez Pérez</w:t>
      </w:r>
    </w:p>
    <w:p w:rsidR="0041684F" w:rsidRDefault="0041684F" w:rsidP="003719C1">
      <w:pPr>
        <w:spacing w:after="0" w:line="360" w:lineRule="auto"/>
        <w:rPr>
          <w:b w:val="0"/>
          <w:sz w:val="24"/>
          <w:szCs w:val="24"/>
        </w:rPr>
        <w:sectPr w:rsidR="0041684F" w:rsidSect="00102C17">
          <w:pgSz w:w="12240" w:h="15840"/>
          <w:pgMar w:top="1440" w:right="1440" w:bottom="1440" w:left="1440" w:header="708" w:footer="708" w:gutter="0"/>
          <w:cols w:space="708"/>
          <w:titlePg/>
          <w:docGrid w:linePitch="382"/>
        </w:sectPr>
      </w:pPr>
      <w:r>
        <w:rPr>
          <w:b w:val="0"/>
          <w:sz w:val="24"/>
          <w:szCs w:val="24"/>
        </w:rPr>
        <w:t xml:space="preserve">Director Ejecutivo </w:t>
      </w:r>
    </w:p>
    <w:p w:rsidR="00E47275" w:rsidRDefault="00E47275" w:rsidP="000D374B">
      <w:pPr>
        <w:rPr>
          <w:sz w:val="24"/>
          <w:szCs w:val="20"/>
        </w:rPr>
      </w:pPr>
    </w:p>
    <w:p w:rsidR="00E47275" w:rsidRPr="00DD04C3" w:rsidRDefault="00DD04C3" w:rsidP="00DD04C3">
      <w:pPr>
        <w:jc w:val="center"/>
        <w:rPr>
          <w:color w:val="0070C0"/>
          <w:sz w:val="44"/>
          <w:szCs w:val="36"/>
        </w:rPr>
      </w:pPr>
      <w:r w:rsidRPr="00DD04C3">
        <w:rPr>
          <w:color w:val="0070C0"/>
          <w:sz w:val="44"/>
          <w:szCs w:val="36"/>
        </w:rPr>
        <w:t>VISIÓN 2024</w:t>
      </w:r>
    </w:p>
    <w:p w:rsidR="00DD04C3" w:rsidRDefault="00DD04C3" w:rsidP="000D374B">
      <w:pPr>
        <w:rPr>
          <w:sz w:val="24"/>
          <w:szCs w:val="20"/>
        </w:rPr>
      </w:pPr>
    </w:p>
    <w:p w:rsidR="00DD04C3" w:rsidRDefault="00DD04C3" w:rsidP="000D374B">
      <w:pPr>
        <w:rPr>
          <w:sz w:val="24"/>
          <w:szCs w:val="20"/>
        </w:rPr>
      </w:pPr>
    </w:p>
    <w:p w:rsidR="00DD04C3" w:rsidRDefault="00DD04C3" w:rsidP="000D374B">
      <w:pPr>
        <w:rPr>
          <w:sz w:val="24"/>
          <w:szCs w:val="20"/>
        </w:rPr>
      </w:pPr>
    </w:p>
    <w:p w:rsidR="00DD04C3" w:rsidRDefault="00DD04C3" w:rsidP="000D374B">
      <w:pPr>
        <w:rPr>
          <w:sz w:val="24"/>
          <w:szCs w:val="20"/>
        </w:rPr>
      </w:pPr>
      <w:r>
        <w:rPr>
          <w:b w:val="0"/>
          <w:noProof/>
          <w:sz w:val="24"/>
          <w:szCs w:val="24"/>
          <w:lang w:eastAsia="es-DO"/>
        </w:rPr>
        <w:drawing>
          <wp:anchor distT="0" distB="0" distL="114300" distR="114300" simplePos="0" relativeHeight="251662848" behindDoc="0" locked="0" layoutInCell="1" allowOverlap="1">
            <wp:simplePos x="0" y="0"/>
            <wp:positionH relativeFrom="margin">
              <wp:align>right</wp:align>
            </wp:positionH>
            <wp:positionV relativeFrom="paragraph">
              <wp:posOffset>711807</wp:posOffset>
            </wp:positionV>
            <wp:extent cx="5934075" cy="3867150"/>
            <wp:effectExtent l="0" t="0" r="9525" b="0"/>
            <wp:wrapSquare wrapText="bothSides"/>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p>
    <w:p w:rsidR="00DD04C3" w:rsidRDefault="00DD04C3" w:rsidP="000D374B">
      <w:pPr>
        <w:rPr>
          <w:sz w:val="24"/>
          <w:szCs w:val="20"/>
        </w:rPr>
        <w:sectPr w:rsidR="00DD04C3" w:rsidSect="00102C17">
          <w:pgSz w:w="12240" w:h="15840"/>
          <w:pgMar w:top="1440" w:right="1440" w:bottom="1440" w:left="1440" w:header="708" w:footer="708" w:gutter="0"/>
          <w:cols w:space="708"/>
          <w:titlePg/>
          <w:docGrid w:linePitch="382"/>
        </w:sectPr>
      </w:pPr>
    </w:p>
    <w:p w:rsidR="00102C17" w:rsidRDefault="00102C17" w:rsidP="00E47275">
      <w:pPr>
        <w:pStyle w:val="Ttulo1"/>
        <w:numPr>
          <w:ilvl w:val="0"/>
          <w:numId w:val="0"/>
        </w:numPr>
      </w:pPr>
      <w:bookmarkStart w:id="4" w:name="_Toc80090942"/>
      <w:bookmarkStart w:id="5" w:name="_Toc80177687"/>
      <w:r>
        <w:lastRenderedPageBreak/>
        <w:t>INTRODUCCIÓN</w:t>
      </w:r>
      <w:bookmarkEnd w:id="4"/>
      <w:bookmarkEnd w:id="5"/>
    </w:p>
    <w:p w:rsidR="000D374B" w:rsidRDefault="000D374B" w:rsidP="003719C1">
      <w:pPr>
        <w:spacing w:after="0" w:line="360" w:lineRule="auto"/>
        <w:rPr>
          <w:b w:val="0"/>
          <w:bCs/>
          <w:sz w:val="24"/>
          <w:szCs w:val="20"/>
        </w:rPr>
      </w:pPr>
    </w:p>
    <w:p w:rsidR="00CF0074" w:rsidRPr="00CF0074" w:rsidRDefault="00CF0074" w:rsidP="00CF0074">
      <w:pPr>
        <w:spacing w:after="0" w:line="360" w:lineRule="auto"/>
        <w:rPr>
          <w:b w:val="0"/>
          <w:color w:val="000000"/>
          <w:sz w:val="24"/>
          <w:szCs w:val="24"/>
          <w:shd w:val="clear" w:color="auto" w:fill="FFFFFF"/>
        </w:rPr>
      </w:pPr>
      <w:r w:rsidRPr="00CF0074">
        <w:rPr>
          <w:b w:val="0"/>
          <w:color w:val="000000"/>
          <w:sz w:val="24"/>
          <w:szCs w:val="24"/>
          <w:shd w:val="clear" w:color="auto" w:fill="FFFFFF"/>
        </w:rPr>
        <w:t>El Instituto Azucarero Dominicano (INAZUCAR), creado por la Ley No.618 del 16 de febrero de 1965, es el órgano del Estado al que le corresponde recomendar al Poder Ejecutivo las normas de la política Azucarera Nacional en todos sus aspectos y la entidad encargada de velar por el cumplimiento de dichas normas.</w:t>
      </w:r>
    </w:p>
    <w:p w:rsidR="00CF0074" w:rsidRPr="00CF0074" w:rsidRDefault="00CF0074" w:rsidP="00CF0074">
      <w:pPr>
        <w:spacing w:after="0" w:line="360" w:lineRule="auto"/>
        <w:rPr>
          <w:b w:val="0"/>
          <w:color w:val="000000"/>
          <w:sz w:val="24"/>
          <w:szCs w:val="24"/>
          <w:shd w:val="clear" w:color="auto" w:fill="FFFFFF"/>
        </w:rPr>
      </w:pPr>
    </w:p>
    <w:p w:rsidR="00CF0074" w:rsidRPr="00CF0074" w:rsidRDefault="00CF0074" w:rsidP="00CF0074">
      <w:pPr>
        <w:spacing w:after="0" w:line="360" w:lineRule="auto"/>
        <w:rPr>
          <w:b w:val="0"/>
          <w:color w:val="000000"/>
          <w:sz w:val="24"/>
          <w:szCs w:val="24"/>
          <w:shd w:val="clear" w:color="auto" w:fill="FFFFFF"/>
        </w:rPr>
      </w:pPr>
      <w:r w:rsidRPr="00CF0074">
        <w:rPr>
          <w:b w:val="0"/>
          <w:color w:val="000000"/>
          <w:sz w:val="24"/>
          <w:szCs w:val="24"/>
          <w:shd w:val="clear" w:color="auto" w:fill="FFFFFF"/>
        </w:rPr>
        <w:t xml:space="preserve">Alineado con el enfoque de gobierno del presidente de la República, Luis Abinader y en cumplimiento de las disposiciones contenidas en la Ley No. 498-06 de Planificación e Inversión </w:t>
      </w:r>
      <w:r w:rsidR="004A020B" w:rsidRPr="00CF0074">
        <w:rPr>
          <w:b w:val="0"/>
          <w:color w:val="000000"/>
          <w:sz w:val="24"/>
          <w:szCs w:val="24"/>
          <w:shd w:val="clear" w:color="auto" w:fill="FFFFFF"/>
        </w:rPr>
        <w:t>Pública</w:t>
      </w:r>
      <w:r w:rsidRPr="00CF0074">
        <w:rPr>
          <w:b w:val="0"/>
          <w:color w:val="000000"/>
          <w:sz w:val="24"/>
          <w:szCs w:val="24"/>
          <w:shd w:val="clear" w:color="auto" w:fill="FFFFFF"/>
        </w:rPr>
        <w:t xml:space="preserve"> y la Ley No. 1-12 de Estrategia Nacional de Desarrollo, el INAZUCAR ha formulado su Plan Estratégico Institucional 2021-2024 (PEI-2024), el cual constituye el marco general de orientación estratégica hacia el logro de la Misión Institucional.</w:t>
      </w:r>
    </w:p>
    <w:p w:rsidR="00CF0074" w:rsidRPr="00CF0074" w:rsidRDefault="00CF0074" w:rsidP="00CF0074">
      <w:pPr>
        <w:spacing w:after="0" w:line="360" w:lineRule="auto"/>
        <w:rPr>
          <w:b w:val="0"/>
          <w:color w:val="000000"/>
          <w:sz w:val="24"/>
          <w:szCs w:val="24"/>
          <w:shd w:val="clear" w:color="auto" w:fill="FFFFFF"/>
        </w:rPr>
      </w:pPr>
    </w:p>
    <w:p w:rsidR="00CF0074" w:rsidRPr="00CF0074" w:rsidRDefault="00CF0074" w:rsidP="00CF0074">
      <w:pPr>
        <w:spacing w:after="0" w:line="360" w:lineRule="auto"/>
        <w:rPr>
          <w:b w:val="0"/>
          <w:color w:val="000000"/>
          <w:sz w:val="24"/>
          <w:szCs w:val="24"/>
          <w:shd w:val="clear" w:color="auto" w:fill="FFFFFF"/>
        </w:rPr>
      </w:pPr>
      <w:r w:rsidRPr="00CF0074">
        <w:rPr>
          <w:b w:val="0"/>
          <w:color w:val="000000"/>
          <w:sz w:val="24"/>
          <w:szCs w:val="24"/>
          <w:shd w:val="clear" w:color="auto" w:fill="FFFFFF"/>
        </w:rPr>
        <w:t>El PEI 2024 tiene como Visión “Ser una institución pública con elevados niveles de calidad, eficiencia y transparencia; que responde equilibrada, equitativa y oportunamente a las necesidades de los diferentes actores del sector azucarero, así como a los requerimientos del mercado nacional e internacional; técnicamente competitiva, tanto en el país como en el marco de los organismos internacionales; y, que promueve la sostenibilidad ambiental, social y económica”.</w:t>
      </w:r>
    </w:p>
    <w:p w:rsidR="00CF0074" w:rsidRPr="00CF0074" w:rsidRDefault="00CF0074" w:rsidP="00CF0074">
      <w:pPr>
        <w:spacing w:after="0" w:line="360" w:lineRule="auto"/>
        <w:rPr>
          <w:b w:val="0"/>
          <w:color w:val="000000"/>
          <w:sz w:val="24"/>
          <w:szCs w:val="24"/>
          <w:shd w:val="clear" w:color="auto" w:fill="FFFFFF"/>
        </w:rPr>
      </w:pPr>
    </w:p>
    <w:p w:rsidR="00CF0074" w:rsidRPr="00CF0074" w:rsidRDefault="00CF0074" w:rsidP="00CF0074">
      <w:pPr>
        <w:spacing w:after="0" w:line="360" w:lineRule="auto"/>
        <w:rPr>
          <w:b w:val="0"/>
          <w:color w:val="000000"/>
          <w:sz w:val="24"/>
          <w:szCs w:val="24"/>
          <w:shd w:val="clear" w:color="auto" w:fill="FFFFFF"/>
        </w:rPr>
      </w:pPr>
      <w:r w:rsidRPr="00CF0074">
        <w:rPr>
          <w:b w:val="0"/>
          <w:color w:val="000000"/>
          <w:sz w:val="24"/>
          <w:szCs w:val="24"/>
          <w:shd w:val="clear" w:color="auto" w:fill="FFFFFF"/>
        </w:rPr>
        <w:t xml:space="preserve">El instrumento que se pone en ejecución está conformado por siete componentes, iniciado con la carta del </w:t>
      </w:r>
      <w:r w:rsidR="004E606C" w:rsidRPr="00CF0074">
        <w:rPr>
          <w:b w:val="0"/>
          <w:color w:val="000000"/>
          <w:sz w:val="24"/>
          <w:szCs w:val="24"/>
          <w:shd w:val="clear" w:color="auto" w:fill="FFFFFF"/>
        </w:rPr>
        <w:t>director ejecutivo</w:t>
      </w:r>
      <w:r w:rsidRPr="00CF0074">
        <w:rPr>
          <w:b w:val="0"/>
          <w:color w:val="000000"/>
          <w:sz w:val="24"/>
          <w:szCs w:val="24"/>
          <w:shd w:val="clear" w:color="auto" w:fill="FFFFFF"/>
        </w:rPr>
        <w:t>, la introducción, una breve historia institucional y los aspectos metodológicos llevados a cabo en el proceso de formulación del Plan, que incluyen tres fases, a saber: preparación, diagnóstico institucional y formulación del Plan.</w:t>
      </w:r>
    </w:p>
    <w:p w:rsidR="00CF0074" w:rsidRPr="00CF0074" w:rsidRDefault="00CF0074" w:rsidP="00CF0074">
      <w:pPr>
        <w:spacing w:after="0" w:line="360" w:lineRule="auto"/>
        <w:rPr>
          <w:b w:val="0"/>
          <w:color w:val="000000"/>
          <w:sz w:val="24"/>
          <w:szCs w:val="24"/>
          <w:shd w:val="clear" w:color="auto" w:fill="FFFFFF"/>
        </w:rPr>
      </w:pPr>
    </w:p>
    <w:p w:rsidR="00E539FE" w:rsidRDefault="00CF0074" w:rsidP="00CF0074">
      <w:pPr>
        <w:spacing w:after="0" w:line="360" w:lineRule="auto"/>
        <w:rPr>
          <w:b w:val="0"/>
          <w:color w:val="000000"/>
          <w:sz w:val="24"/>
          <w:szCs w:val="24"/>
          <w:shd w:val="clear" w:color="auto" w:fill="FFFFFF"/>
        </w:rPr>
        <w:sectPr w:rsidR="00E539FE" w:rsidSect="00102C17">
          <w:pgSz w:w="12240" w:h="15840"/>
          <w:pgMar w:top="1440" w:right="1440" w:bottom="1440" w:left="1440" w:header="708" w:footer="708" w:gutter="0"/>
          <w:cols w:space="708"/>
          <w:titlePg/>
          <w:docGrid w:linePitch="382"/>
        </w:sectPr>
      </w:pPr>
      <w:r w:rsidRPr="00CF0074">
        <w:rPr>
          <w:b w:val="0"/>
          <w:color w:val="000000"/>
          <w:sz w:val="24"/>
          <w:szCs w:val="24"/>
          <w:shd w:val="clear" w:color="auto" w:fill="FFFFFF"/>
        </w:rPr>
        <w:t xml:space="preserve">De forma seguida, se presenta la alineación del PEI 2024 con el marco de la planificación internacional y nacional, abarcando aspectos como la vinculación con los Objetivos de Desarrollo Sostenible 2030 (ODS 2030), vinculación con la Estrategia Nacional de Desarrollo 2030 (END 2030) y vinculación con el Plan Nacional Plurianual del Sector Público 2020-2024 (PNPSP 2024). </w:t>
      </w:r>
    </w:p>
    <w:p w:rsidR="00CF0074" w:rsidRPr="00CF0074" w:rsidRDefault="00CF0074" w:rsidP="00CF0074">
      <w:pPr>
        <w:spacing w:after="0" w:line="360" w:lineRule="auto"/>
        <w:rPr>
          <w:b w:val="0"/>
          <w:color w:val="000000"/>
          <w:sz w:val="24"/>
          <w:szCs w:val="24"/>
          <w:shd w:val="clear" w:color="auto" w:fill="FFFFFF"/>
        </w:rPr>
      </w:pPr>
    </w:p>
    <w:p w:rsidR="00CF0074" w:rsidRPr="00CF0074" w:rsidRDefault="00CF0074" w:rsidP="00CF0074">
      <w:pPr>
        <w:spacing w:after="0" w:line="360" w:lineRule="auto"/>
        <w:rPr>
          <w:b w:val="0"/>
          <w:color w:val="000000"/>
          <w:sz w:val="24"/>
          <w:szCs w:val="24"/>
          <w:shd w:val="clear" w:color="auto" w:fill="FFFFFF"/>
        </w:rPr>
      </w:pPr>
    </w:p>
    <w:p w:rsidR="00CF0074" w:rsidRDefault="00CF0074" w:rsidP="00CF0074">
      <w:pPr>
        <w:spacing w:after="0" w:line="360" w:lineRule="auto"/>
        <w:rPr>
          <w:b w:val="0"/>
          <w:color w:val="000000"/>
          <w:sz w:val="24"/>
          <w:szCs w:val="24"/>
          <w:shd w:val="clear" w:color="auto" w:fill="FFFFFF"/>
        </w:rPr>
      </w:pPr>
      <w:r w:rsidRPr="00CF0074">
        <w:rPr>
          <w:b w:val="0"/>
          <w:color w:val="000000"/>
          <w:sz w:val="24"/>
          <w:szCs w:val="24"/>
          <w:shd w:val="clear" w:color="auto" w:fill="FFFFFF"/>
        </w:rPr>
        <w:t>El PIE 2024 está estructurado en dos ejes estratégicos, dos objetivos estratégicos, dos resultados esperados, siete productos entregables y nueve indicadores objetivamente verificables que harán posible llegar a la Visión 2020 en correspondencia con la misión.</w:t>
      </w:r>
    </w:p>
    <w:p w:rsidR="004A020B" w:rsidRPr="00CF0074" w:rsidRDefault="004A020B" w:rsidP="00CF0074">
      <w:pPr>
        <w:spacing w:after="0" w:line="360" w:lineRule="auto"/>
        <w:rPr>
          <w:b w:val="0"/>
          <w:color w:val="000000"/>
          <w:sz w:val="24"/>
          <w:szCs w:val="24"/>
          <w:shd w:val="clear" w:color="auto" w:fill="FFFFFF"/>
        </w:rPr>
      </w:pPr>
    </w:p>
    <w:p w:rsidR="00CF0074" w:rsidRPr="00CF0074" w:rsidRDefault="00CF0074" w:rsidP="00CF0074">
      <w:pPr>
        <w:spacing w:after="0" w:line="360" w:lineRule="auto"/>
        <w:rPr>
          <w:b w:val="0"/>
          <w:color w:val="000000"/>
          <w:sz w:val="24"/>
          <w:szCs w:val="24"/>
          <w:shd w:val="clear" w:color="auto" w:fill="FFFFFF"/>
        </w:rPr>
      </w:pPr>
      <w:r w:rsidRPr="00CF0074">
        <w:rPr>
          <w:b w:val="0"/>
          <w:color w:val="000000"/>
          <w:sz w:val="24"/>
          <w:szCs w:val="24"/>
          <w:shd w:val="clear" w:color="auto" w:fill="FFFFFF"/>
        </w:rPr>
        <w:t>Asimismo, el documento cuenta con una descripción de los aspectos filosóficos como son la misión la visión y la escala de valores que rigen el comportamiento colectivo de la institución, así como el comportamiento individual de sus servidores públicos.</w:t>
      </w:r>
    </w:p>
    <w:p w:rsidR="00CF0074" w:rsidRPr="00CF0074" w:rsidRDefault="00CF0074" w:rsidP="00CF0074">
      <w:pPr>
        <w:spacing w:after="0" w:line="360" w:lineRule="auto"/>
        <w:rPr>
          <w:b w:val="0"/>
          <w:color w:val="000000"/>
          <w:sz w:val="24"/>
          <w:szCs w:val="24"/>
          <w:shd w:val="clear" w:color="auto" w:fill="FFFFFF"/>
        </w:rPr>
      </w:pPr>
    </w:p>
    <w:p w:rsidR="00CF0074" w:rsidRPr="00CF0074" w:rsidRDefault="00CF0074" w:rsidP="00CF0074">
      <w:pPr>
        <w:spacing w:after="0" w:line="360" w:lineRule="auto"/>
        <w:rPr>
          <w:b w:val="0"/>
          <w:color w:val="000000"/>
          <w:sz w:val="24"/>
          <w:szCs w:val="24"/>
          <w:shd w:val="clear" w:color="auto" w:fill="FFFFFF"/>
        </w:rPr>
      </w:pPr>
      <w:r w:rsidRPr="00CF0074">
        <w:rPr>
          <w:b w:val="0"/>
          <w:color w:val="000000"/>
          <w:sz w:val="24"/>
          <w:szCs w:val="24"/>
          <w:shd w:val="clear" w:color="auto" w:fill="FFFFFF"/>
        </w:rPr>
        <w:t>De igual forma, el PEI 2024 contiene el marco estratégico integrado por los ejes estratégicos, el objetivo general, los objetivos estratégicos, los resultados esperados, los productos entregables y la matriz de estratégica que muestra la consistencia de manera conjunta de los elementos antes señalados. En ese mismo tenor, se muestran los indicadores objetivamente verificables en una ficha técnica que facilitará la medición, como mecanismo de monitoreo y control del PEI.</w:t>
      </w:r>
    </w:p>
    <w:p w:rsidR="00CF0074" w:rsidRPr="00CF0074" w:rsidRDefault="00CF0074" w:rsidP="00CF0074">
      <w:pPr>
        <w:spacing w:after="0" w:line="360" w:lineRule="auto"/>
        <w:rPr>
          <w:b w:val="0"/>
          <w:color w:val="000000"/>
          <w:sz w:val="24"/>
          <w:szCs w:val="24"/>
          <w:shd w:val="clear" w:color="auto" w:fill="FFFFFF"/>
        </w:rPr>
      </w:pPr>
    </w:p>
    <w:p w:rsidR="007B0D80" w:rsidRDefault="007B0D80" w:rsidP="00E47275">
      <w:pPr>
        <w:pStyle w:val="Ttulo1"/>
      </w:pPr>
      <w:bookmarkStart w:id="6" w:name="_Toc80090943"/>
      <w:bookmarkStart w:id="7" w:name="_Toc80177688"/>
      <w:r>
        <w:t>BREVE HISTORIA INSTITUCIONAL</w:t>
      </w:r>
      <w:bookmarkEnd w:id="6"/>
      <w:bookmarkEnd w:id="7"/>
    </w:p>
    <w:p w:rsidR="004E6D6D" w:rsidRPr="004C7FF9" w:rsidRDefault="004E6D6D" w:rsidP="004E6D6D">
      <w:pPr>
        <w:widowControl w:val="0"/>
        <w:autoSpaceDE w:val="0"/>
        <w:autoSpaceDN w:val="0"/>
        <w:spacing w:after="0" w:line="360" w:lineRule="auto"/>
        <w:rPr>
          <w:sz w:val="24"/>
          <w:szCs w:val="20"/>
        </w:rPr>
      </w:pPr>
    </w:p>
    <w:p w:rsidR="004E6D6D" w:rsidRPr="004E6D6D" w:rsidRDefault="004E6D6D" w:rsidP="004E6D6D">
      <w:pPr>
        <w:widowControl w:val="0"/>
        <w:autoSpaceDE w:val="0"/>
        <w:autoSpaceDN w:val="0"/>
        <w:spacing w:after="0" w:line="360" w:lineRule="auto"/>
        <w:rPr>
          <w:rFonts w:eastAsia="Arial" w:cs="Arial"/>
          <w:b w:val="0"/>
          <w:sz w:val="24"/>
          <w:szCs w:val="24"/>
        </w:rPr>
      </w:pPr>
      <w:r w:rsidRPr="004E6D6D">
        <w:rPr>
          <w:rFonts w:eastAsia="Arial" w:cs="Arial"/>
          <w:b w:val="0"/>
          <w:sz w:val="24"/>
          <w:szCs w:val="24"/>
        </w:rPr>
        <w:t xml:space="preserve">La caña de azúcar </w:t>
      </w:r>
      <w:r>
        <w:rPr>
          <w:rFonts w:eastAsia="Arial" w:cs="Arial"/>
          <w:b w:val="0"/>
          <w:sz w:val="24"/>
          <w:szCs w:val="24"/>
        </w:rPr>
        <w:t>llega a</w:t>
      </w:r>
      <w:r w:rsidRPr="004E6D6D">
        <w:rPr>
          <w:rFonts w:eastAsia="Arial" w:cs="Arial"/>
          <w:b w:val="0"/>
          <w:sz w:val="24"/>
          <w:szCs w:val="24"/>
        </w:rPr>
        <w:t xml:space="preserve"> la isla</w:t>
      </w:r>
      <w:r>
        <w:rPr>
          <w:rFonts w:eastAsia="Arial" w:cs="Arial"/>
          <w:b w:val="0"/>
          <w:sz w:val="24"/>
          <w:szCs w:val="24"/>
        </w:rPr>
        <w:t>,como resultado del descubrimiento de América</w:t>
      </w:r>
      <w:r w:rsidRPr="004E6D6D">
        <w:rPr>
          <w:rFonts w:eastAsia="Arial" w:cs="Arial"/>
          <w:b w:val="0"/>
          <w:sz w:val="24"/>
          <w:szCs w:val="24"/>
        </w:rPr>
        <w:t>,</w:t>
      </w:r>
      <w:r>
        <w:rPr>
          <w:rFonts w:eastAsia="Arial" w:cs="Arial"/>
          <w:b w:val="0"/>
          <w:sz w:val="24"/>
          <w:szCs w:val="24"/>
        </w:rPr>
        <w:t xml:space="preserve"> liderado por Cristóbal Colon,</w:t>
      </w:r>
      <w:r w:rsidRPr="004E6D6D">
        <w:rPr>
          <w:rFonts w:eastAsia="Arial" w:cs="Arial"/>
          <w:b w:val="0"/>
          <w:sz w:val="24"/>
          <w:szCs w:val="24"/>
        </w:rPr>
        <w:t xml:space="preserve"> procedente de las Islas Canarias, y a partir de </w:t>
      </w:r>
      <w:r>
        <w:rPr>
          <w:rFonts w:eastAsia="Arial" w:cs="Arial"/>
          <w:b w:val="0"/>
          <w:sz w:val="24"/>
          <w:szCs w:val="24"/>
        </w:rPr>
        <w:t>entonces</w:t>
      </w:r>
      <w:r w:rsidRPr="004E6D6D">
        <w:rPr>
          <w:rFonts w:eastAsia="Arial" w:cs="Arial"/>
          <w:b w:val="0"/>
          <w:sz w:val="24"/>
          <w:szCs w:val="24"/>
        </w:rPr>
        <w:t xml:space="preserve"> ha mantenido una presencia </w:t>
      </w:r>
      <w:r>
        <w:rPr>
          <w:rFonts w:eastAsia="Arial" w:cs="Arial"/>
          <w:b w:val="0"/>
          <w:sz w:val="24"/>
          <w:szCs w:val="24"/>
        </w:rPr>
        <w:t>continua</w:t>
      </w:r>
      <w:r w:rsidRPr="004E6D6D">
        <w:rPr>
          <w:rFonts w:eastAsia="Arial" w:cs="Arial"/>
          <w:b w:val="0"/>
          <w:sz w:val="24"/>
          <w:szCs w:val="24"/>
        </w:rPr>
        <w:t xml:space="preserve"> en </w:t>
      </w:r>
      <w:r>
        <w:rPr>
          <w:rFonts w:eastAsia="Arial" w:cs="Arial"/>
          <w:b w:val="0"/>
          <w:sz w:val="24"/>
          <w:szCs w:val="24"/>
        </w:rPr>
        <w:t>la dinámica económica de la República Dominicana</w:t>
      </w:r>
      <w:r w:rsidRPr="004E6D6D">
        <w:rPr>
          <w:rFonts w:eastAsia="Arial" w:cs="Arial"/>
          <w:b w:val="0"/>
          <w:sz w:val="24"/>
          <w:szCs w:val="24"/>
        </w:rPr>
        <w:t>.</w:t>
      </w:r>
    </w:p>
    <w:p w:rsidR="004E6D6D" w:rsidRPr="004E6D6D" w:rsidRDefault="004E6D6D" w:rsidP="004E6D6D">
      <w:pPr>
        <w:widowControl w:val="0"/>
        <w:autoSpaceDE w:val="0"/>
        <w:autoSpaceDN w:val="0"/>
        <w:spacing w:after="0" w:line="360" w:lineRule="auto"/>
        <w:rPr>
          <w:rFonts w:eastAsia="Arial" w:cs="Arial"/>
          <w:b w:val="0"/>
          <w:sz w:val="24"/>
          <w:szCs w:val="24"/>
        </w:rPr>
      </w:pPr>
    </w:p>
    <w:p w:rsidR="004E6D6D" w:rsidRPr="004E6D6D" w:rsidRDefault="004E6D6D" w:rsidP="004E6D6D">
      <w:pPr>
        <w:widowControl w:val="0"/>
        <w:autoSpaceDE w:val="0"/>
        <w:autoSpaceDN w:val="0"/>
        <w:spacing w:after="0" w:line="360" w:lineRule="auto"/>
        <w:rPr>
          <w:rFonts w:eastAsia="Arial" w:cs="Arial"/>
          <w:b w:val="0"/>
          <w:sz w:val="24"/>
          <w:szCs w:val="24"/>
        </w:rPr>
      </w:pPr>
      <w:r w:rsidRPr="004E6D6D">
        <w:rPr>
          <w:rFonts w:eastAsia="Arial" w:cs="Arial"/>
          <w:b w:val="0"/>
          <w:sz w:val="24"/>
          <w:szCs w:val="24"/>
        </w:rPr>
        <w:t xml:space="preserve">A mediados del siglo XIX </w:t>
      </w:r>
      <w:r>
        <w:rPr>
          <w:rFonts w:eastAsia="Arial" w:cs="Arial"/>
          <w:b w:val="0"/>
          <w:sz w:val="24"/>
          <w:szCs w:val="24"/>
        </w:rPr>
        <w:t xml:space="preserve">el país empieza a dar los primeros pasos hacia la </w:t>
      </w:r>
      <w:r w:rsidR="004A1506">
        <w:rPr>
          <w:rFonts w:eastAsia="Arial" w:cs="Arial"/>
          <w:b w:val="0"/>
          <w:sz w:val="24"/>
          <w:szCs w:val="24"/>
        </w:rPr>
        <w:t>industrialización de la caña de azúcar, con la introducción de</w:t>
      </w:r>
      <w:r w:rsidRPr="004E6D6D">
        <w:rPr>
          <w:rFonts w:eastAsia="Arial" w:cs="Arial"/>
          <w:b w:val="0"/>
          <w:sz w:val="24"/>
          <w:szCs w:val="24"/>
        </w:rPr>
        <w:t xml:space="preserve"> la máquina de vapor, </w:t>
      </w:r>
      <w:r w:rsidR="004A1506">
        <w:rPr>
          <w:rFonts w:eastAsia="Arial" w:cs="Arial"/>
          <w:b w:val="0"/>
          <w:sz w:val="24"/>
          <w:szCs w:val="24"/>
        </w:rPr>
        <w:t>que trajo consigo</w:t>
      </w:r>
      <w:r w:rsidRPr="004E6D6D">
        <w:rPr>
          <w:rFonts w:eastAsia="Arial" w:cs="Arial"/>
          <w:b w:val="0"/>
          <w:sz w:val="24"/>
          <w:szCs w:val="24"/>
        </w:rPr>
        <w:t xml:space="preserve"> la producción semi-mecanizada. </w:t>
      </w:r>
      <w:r w:rsidR="004A1506">
        <w:rPr>
          <w:rFonts w:eastAsia="Arial" w:cs="Arial"/>
          <w:b w:val="0"/>
          <w:sz w:val="24"/>
          <w:szCs w:val="24"/>
        </w:rPr>
        <w:t>Es a finales de dicho siglo que se establece el primer ingenio azucarero. Ya para el</w:t>
      </w:r>
      <w:r w:rsidRPr="004E6D6D">
        <w:rPr>
          <w:rFonts w:eastAsia="Arial" w:cs="Arial"/>
          <w:b w:val="0"/>
          <w:sz w:val="24"/>
          <w:szCs w:val="24"/>
        </w:rPr>
        <w:t xml:space="preserve"> siglo XX, </w:t>
      </w:r>
      <w:r w:rsidR="004A1506">
        <w:rPr>
          <w:rFonts w:eastAsia="Arial" w:cs="Arial"/>
          <w:b w:val="0"/>
          <w:sz w:val="24"/>
          <w:szCs w:val="24"/>
        </w:rPr>
        <w:t>la industria azucarera continua su crecimiento, matizado por la inversión extranjera, específicamente con</w:t>
      </w:r>
      <w:r w:rsidRPr="004E6D6D">
        <w:rPr>
          <w:rFonts w:eastAsia="Arial" w:cs="Arial"/>
          <w:b w:val="0"/>
          <w:sz w:val="24"/>
          <w:szCs w:val="24"/>
        </w:rPr>
        <w:t xml:space="preserve"> la </w:t>
      </w:r>
      <w:r w:rsidR="004A1506" w:rsidRPr="004E6D6D">
        <w:rPr>
          <w:rFonts w:eastAsia="Arial" w:cs="Arial"/>
          <w:b w:val="0"/>
          <w:sz w:val="24"/>
          <w:szCs w:val="24"/>
        </w:rPr>
        <w:t>introducción</w:t>
      </w:r>
      <w:r w:rsidRPr="004E6D6D">
        <w:rPr>
          <w:rFonts w:eastAsia="Arial" w:cs="Arial"/>
          <w:b w:val="0"/>
          <w:sz w:val="24"/>
          <w:szCs w:val="24"/>
        </w:rPr>
        <w:t xml:space="preserve"> de capital</w:t>
      </w:r>
      <w:r w:rsidR="004A1506">
        <w:rPr>
          <w:rFonts w:eastAsia="Arial" w:cs="Arial"/>
          <w:b w:val="0"/>
          <w:sz w:val="24"/>
          <w:szCs w:val="24"/>
        </w:rPr>
        <w:t xml:space="preserve">, </w:t>
      </w:r>
      <w:r w:rsidRPr="004E6D6D">
        <w:rPr>
          <w:rFonts w:eastAsia="Arial" w:cs="Arial"/>
          <w:b w:val="0"/>
          <w:sz w:val="24"/>
          <w:szCs w:val="24"/>
        </w:rPr>
        <w:t>principalmente</w:t>
      </w:r>
      <w:r w:rsidR="004A1506">
        <w:rPr>
          <w:rFonts w:eastAsia="Arial" w:cs="Arial"/>
          <w:b w:val="0"/>
          <w:sz w:val="24"/>
          <w:szCs w:val="24"/>
        </w:rPr>
        <w:t>,</w:t>
      </w:r>
      <w:r w:rsidRPr="004E6D6D">
        <w:rPr>
          <w:rFonts w:eastAsia="Arial" w:cs="Arial"/>
          <w:b w:val="0"/>
          <w:sz w:val="24"/>
          <w:szCs w:val="24"/>
        </w:rPr>
        <w:t xml:space="preserve"> de fuentes alemanas e inglesas.</w:t>
      </w:r>
    </w:p>
    <w:p w:rsidR="004E6D6D" w:rsidRPr="004E6D6D" w:rsidRDefault="004E6D6D" w:rsidP="004E6D6D">
      <w:pPr>
        <w:widowControl w:val="0"/>
        <w:autoSpaceDE w:val="0"/>
        <w:autoSpaceDN w:val="0"/>
        <w:spacing w:after="0" w:line="360" w:lineRule="auto"/>
        <w:rPr>
          <w:rFonts w:eastAsia="Arial" w:cs="Arial"/>
          <w:b w:val="0"/>
          <w:sz w:val="24"/>
          <w:szCs w:val="24"/>
        </w:rPr>
      </w:pPr>
    </w:p>
    <w:p w:rsidR="004E6D6D" w:rsidRDefault="004A1506" w:rsidP="004E6D6D">
      <w:pPr>
        <w:widowControl w:val="0"/>
        <w:autoSpaceDE w:val="0"/>
        <w:autoSpaceDN w:val="0"/>
        <w:spacing w:after="0" w:line="360" w:lineRule="auto"/>
        <w:rPr>
          <w:rFonts w:eastAsia="Arial" w:cs="Arial"/>
          <w:b w:val="0"/>
          <w:sz w:val="24"/>
          <w:szCs w:val="24"/>
        </w:rPr>
      </w:pPr>
      <w:r>
        <w:rPr>
          <w:rFonts w:eastAsia="Arial" w:cs="Arial"/>
          <w:b w:val="0"/>
          <w:sz w:val="24"/>
          <w:szCs w:val="24"/>
        </w:rPr>
        <w:t>Al concluir</w:t>
      </w:r>
      <w:r w:rsidR="004E6D6D" w:rsidRPr="004E6D6D">
        <w:rPr>
          <w:rFonts w:eastAsia="Arial" w:cs="Arial"/>
          <w:b w:val="0"/>
          <w:sz w:val="24"/>
          <w:szCs w:val="24"/>
        </w:rPr>
        <w:t xml:space="preserve"> la </w:t>
      </w:r>
      <w:r>
        <w:rPr>
          <w:rFonts w:eastAsia="Arial" w:cs="Arial"/>
          <w:b w:val="0"/>
          <w:sz w:val="24"/>
          <w:szCs w:val="24"/>
        </w:rPr>
        <w:t xml:space="preserve">segunda </w:t>
      </w:r>
      <w:r w:rsidR="004E6D6D" w:rsidRPr="004E6D6D">
        <w:rPr>
          <w:rFonts w:eastAsia="Arial" w:cs="Arial"/>
          <w:b w:val="0"/>
          <w:sz w:val="24"/>
          <w:szCs w:val="24"/>
        </w:rPr>
        <w:t>década de</w:t>
      </w:r>
      <w:r>
        <w:rPr>
          <w:rFonts w:eastAsia="Arial" w:cs="Arial"/>
          <w:b w:val="0"/>
          <w:sz w:val="24"/>
          <w:szCs w:val="24"/>
        </w:rPr>
        <w:t>l siglo XX</w:t>
      </w:r>
      <w:r w:rsidR="004E6D6D" w:rsidRPr="004E6D6D">
        <w:rPr>
          <w:rFonts w:eastAsia="Arial" w:cs="Arial"/>
          <w:b w:val="0"/>
          <w:sz w:val="24"/>
          <w:szCs w:val="24"/>
        </w:rPr>
        <w:t xml:space="preserve">, la industria azucarera nacional </w:t>
      </w:r>
      <w:r>
        <w:rPr>
          <w:rFonts w:eastAsia="Arial" w:cs="Arial"/>
          <w:b w:val="0"/>
          <w:sz w:val="24"/>
          <w:szCs w:val="24"/>
        </w:rPr>
        <w:t>se concentra</w:t>
      </w:r>
      <w:r w:rsidR="004E6D6D" w:rsidRPr="004E6D6D">
        <w:rPr>
          <w:rFonts w:eastAsia="Arial" w:cs="Arial"/>
          <w:b w:val="0"/>
          <w:sz w:val="24"/>
          <w:szCs w:val="24"/>
        </w:rPr>
        <w:t xml:space="preserve"> en tres grupos: la Familia Vicini (nacional), la Cubana Dominicana y la South Porto Rica Sugar Company, </w:t>
      </w:r>
      <w:r>
        <w:rPr>
          <w:rFonts w:eastAsia="Arial" w:cs="Arial"/>
          <w:b w:val="0"/>
          <w:sz w:val="24"/>
          <w:szCs w:val="24"/>
        </w:rPr>
        <w:lastRenderedPageBreak/>
        <w:t xml:space="preserve">a la sazón </w:t>
      </w:r>
      <w:r w:rsidR="004E6D6D" w:rsidRPr="004E6D6D">
        <w:rPr>
          <w:rFonts w:eastAsia="Arial" w:cs="Arial"/>
          <w:b w:val="0"/>
          <w:sz w:val="24"/>
          <w:szCs w:val="24"/>
        </w:rPr>
        <w:t>propietaria del Central Romana, qu</w:t>
      </w:r>
      <w:r>
        <w:rPr>
          <w:rFonts w:eastAsia="Arial" w:cs="Arial"/>
          <w:b w:val="0"/>
          <w:sz w:val="24"/>
          <w:szCs w:val="24"/>
        </w:rPr>
        <w:t xml:space="preserve">ien </w:t>
      </w:r>
      <w:r w:rsidR="004E6D6D" w:rsidRPr="004E6D6D">
        <w:rPr>
          <w:rFonts w:eastAsia="Arial" w:cs="Arial"/>
          <w:b w:val="0"/>
          <w:sz w:val="24"/>
          <w:szCs w:val="24"/>
        </w:rPr>
        <w:t xml:space="preserve">en la actualidad </w:t>
      </w:r>
      <w:r>
        <w:rPr>
          <w:rFonts w:eastAsia="Arial" w:cs="Arial"/>
          <w:b w:val="0"/>
          <w:sz w:val="24"/>
          <w:szCs w:val="24"/>
        </w:rPr>
        <w:t>es</w:t>
      </w:r>
      <w:r w:rsidR="004E6D6D" w:rsidRPr="004E6D6D">
        <w:rPr>
          <w:rFonts w:eastAsia="Arial" w:cs="Arial"/>
          <w:b w:val="0"/>
          <w:sz w:val="24"/>
          <w:szCs w:val="24"/>
        </w:rPr>
        <w:t xml:space="preserve"> el principal productor.</w:t>
      </w:r>
    </w:p>
    <w:p w:rsidR="004E6D6D" w:rsidRDefault="004E6D6D" w:rsidP="004E6D6D">
      <w:pPr>
        <w:widowControl w:val="0"/>
        <w:autoSpaceDE w:val="0"/>
        <w:autoSpaceDN w:val="0"/>
        <w:spacing w:after="0" w:line="360" w:lineRule="auto"/>
        <w:rPr>
          <w:rFonts w:eastAsia="Arial" w:cs="Arial"/>
          <w:b w:val="0"/>
          <w:sz w:val="24"/>
          <w:szCs w:val="24"/>
        </w:rPr>
      </w:pPr>
    </w:p>
    <w:p w:rsidR="004E6D6D" w:rsidRPr="004E6D6D" w:rsidRDefault="004A1506" w:rsidP="004E6D6D">
      <w:pPr>
        <w:widowControl w:val="0"/>
        <w:autoSpaceDE w:val="0"/>
        <w:autoSpaceDN w:val="0"/>
        <w:spacing w:after="0" w:line="360" w:lineRule="auto"/>
        <w:rPr>
          <w:rFonts w:eastAsia="Arial" w:cs="Arial"/>
          <w:b w:val="0"/>
          <w:sz w:val="24"/>
          <w:szCs w:val="24"/>
        </w:rPr>
      </w:pPr>
      <w:r>
        <w:rPr>
          <w:rFonts w:eastAsia="Arial" w:cs="Arial"/>
          <w:b w:val="0"/>
          <w:sz w:val="24"/>
          <w:szCs w:val="24"/>
        </w:rPr>
        <w:t>Como resultado del crecimiento sostenido que venía registrando la industria azucarera nacional, e</w:t>
      </w:r>
      <w:r w:rsidR="004E6D6D" w:rsidRPr="004E6D6D">
        <w:rPr>
          <w:rFonts w:eastAsia="Arial" w:cs="Arial"/>
          <w:b w:val="0"/>
          <w:sz w:val="24"/>
          <w:szCs w:val="24"/>
        </w:rPr>
        <w:t xml:space="preserve">n el año 1927, el General Horacio Vásquez, presidente de la República, </w:t>
      </w:r>
      <w:r w:rsidR="006B7C5D">
        <w:rPr>
          <w:rFonts w:eastAsia="Arial" w:cs="Arial"/>
          <w:b w:val="0"/>
          <w:sz w:val="24"/>
          <w:szCs w:val="24"/>
        </w:rPr>
        <w:t>promulgó</w:t>
      </w:r>
      <w:r w:rsidR="004E6D6D" w:rsidRPr="004E6D6D">
        <w:rPr>
          <w:rFonts w:eastAsia="Arial" w:cs="Arial"/>
          <w:b w:val="0"/>
          <w:sz w:val="24"/>
          <w:szCs w:val="24"/>
        </w:rPr>
        <w:t xml:space="preserve"> el decreto </w:t>
      </w:r>
      <w:r w:rsidR="006B7C5D">
        <w:rPr>
          <w:rFonts w:eastAsia="Arial" w:cs="Arial"/>
          <w:b w:val="0"/>
          <w:sz w:val="24"/>
          <w:szCs w:val="24"/>
        </w:rPr>
        <w:t>N</w:t>
      </w:r>
      <w:r w:rsidR="004E6D6D" w:rsidRPr="004E6D6D">
        <w:rPr>
          <w:rFonts w:eastAsia="Arial" w:cs="Arial"/>
          <w:b w:val="0"/>
          <w:sz w:val="24"/>
          <w:szCs w:val="24"/>
        </w:rPr>
        <w:t>úm. 786, de fecha 16 de noviembre, creando la Comisión Nacional del Azúcar, con la finalidad de sumarse a los esfuerzos que se estaban gestando a nivel mundial en pro de alcanzar la normalización del mercado azucarero, a fin de lograr la estabilidad, mediante el control de la producción de este bien de consumo.  Para tales fines, la Comisión Nacional se encargó de informar y asesorar al presidente de la República en todo lo relacionado con la comercialización de este producto a nivel nacional e internacional.</w:t>
      </w:r>
    </w:p>
    <w:p w:rsidR="004E6D6D" w:rsidRPr="004E6D6D" w:rsidRDefault="004E6D6D" w:rsidP="004E6D6D">
      <w:pPr>
        <w:widowControl w:val="0"/>
        <w:autoSpaceDE w:val="0"/>
        <w:autoSpaceDN w:val="0"/>
        <w:spacing w:after="0" w:line="360" w:lineRule="auto"/>
        <w:rPr>
          <w:rFonts w:eastAsia="Arial" w:cs="Arial"/>
          <w:b w:val="0"/>
          <w:sz w:val="24"/>
          <w:szCs w:val="24"/>
        </w:rPr>
      </w:pPr>
    </w:p>
    <w:p w:rsidR="009D6F23" w:rsidRDefault="004E6D6D" w:rsidP="004E6D6D">
      <w:pPr>
        <w:widowControl w:val="0"/>
        <w:autoSpaceDE w:val="0"/>
        <w:autoSpaceDN w:val="0"/>
        <w:spacing w:after="0" w:line="360" w:lineRule="auto"/>
        <w:rPr>
          <w:rFonts w:eastAsia="Arial" w:cs="Arial"/>
          <w:b w:val="0"/>
          <w:sz w:val="24"/>
          <w:szCs w:val="24"/>
        </w:rPr>
      </w:pPr>
      <w:r w:rsidRPr="004E6D6D">
        <w:rPr>
          <w:rFonts w:eastAsia="Arial" w:cs="Arial"/>
          <w:b w:val="0"/>
          <w:sz w:val="24"/>
          <w:szCs w:val="24"/>
        </w:rPr>
        <w:t xml:space="preserve">Posteriormente, tomando en consideración que la República Dominicana se había convertido en un gran productor y exportador de azúcar, se requirió de la creación de un órgano que controlara y coordinara esta actividad económica.  En consecuencia, el 16 de febrero de 1965, el Poder Ejecutivo aprobó la Ley Núm. 618, que crea el Instituto Azucarero Dominicano (INAZUCAR), con la finalidad de asesorar y recomendar al presidente de la República las normas de la política azucarera nacional en todos sus aspectos. </w:t>
      </w:r>
    </w:p>
    <w:p w:rsidR="004E6D6D" w:rsidRPr="004E6D6D" w:rsidRDefault="004E6D6D" w:rsidP="004E6D6D">
      <w:pPr>
        <w:widowControl w:val="0"/>
        <w:autoSpaceDE w:val="0"/>
        <w:autoSpaceDN w:val="0"/>
        <w:spacing w:after="0" w:line="360" w:lineRule="auto"/>
        <w:rPr>
          <w:rFonts w:eastAsia="Arial" w:cs="Arial"/>
          <w:b w:val="0"/>
          <w:sz w:val="24"/>
          <w:szCs w:val="24"/>
        </w:rPr>
      </w:pPr>
    </w:p>
    <w:p w:rsidR="004E6D6D" w:rsidRPr="004E6D6D" w:rsidRDefault="004E6D6D" w:rsidP="004E6D6D">
      <w:pPr>
        <w:widowControl w:val="0"/>
        <w:autoSpaceDE w:val="0"/>
        <w:autoSpaceDN w:val="0"/>
        <w:spacing w:after="0" w:line="360" w:lineRule="auto"/>
        <w:rPr>
          <w:rFonts w:eastAsia="Arial" w:cs="Arial"/>
          <w:b w:val="0"/>
          <w:sz w:val="24"/>
          <w:szCs w:val="24"/>
        </w:rPr>
      </w:pPr>
      <w:r w:rsidRPr="004E6D6D">
        <w:rPr>
          <w:rFonts w:eastAsia="Arial" w:cs="Arial"/>
          <w:b w:val="0"/>
          <w:sz w:val="24"/>
          <w:szCs w:val="24"/>
        </w:rPr>
        <w:t>Fue también aprobada y posteriormente promulgada la Ley Núm. 619 en la misma fecha.  Más adelante, el 31 de marzo del mismo año se modifica el artículo 3 de la Ley 618 a través de la Ley número 682, a fin de incluir en su Consejo al Gobernador del Banco Central quien permaneció en dicho órgano hasta la entrada en vigor del Código Monetario y Financiero.   Igualmente, se aprueba la Ley 119 en fecha 1ro. de febrero de 1966, que modifica el artículo 21 de la Ley 618. Después, el 8 de enero de 1987, el Congreso Nacional emitió la Ley Núm. 27-87, mediante la cual se concede personalidad jurídica al Instituto Azucarero Dominicano (INAZUCAR).</w:t>
      </w:r>
    </w:p>
    <w:p w:rsidR="000D374B" w:rsidRPr="004E6D6D" w:rsidRDefault="000D374B" w:rsidP="004E6D6D">
      <w:pPr>
        <w:spacing w:line="360" w:lineRule="auto"/>
      </w:pPr>
    </w:p>
    <w:p w:rsidR="000D374B" w:rsidRPr="004E6D6D" w:rsidRDefault="000D374B" w:rsidP="004E6D6D">
      <w:pPr>
        <w:spacing w:line="360" w:lineRule="auto"/>
      </w:pPr>
    </w:p>
    <w:p w:rsidR="000D374B" w:rsidRPr="004E6D6D" w:rsidRDefault="000D374B" w:rsidP="004E6D6D">
      <w:pPr>
        <w:spacing w:line="360" w:lineRule="auto"/>
      </w:pPr>
    </w:p>
    <w:p w:rsidR="000D374B" w:rsidRPr="004E6D6D" w:rsidRDefault="000D374B" w:rsidP="004E6D6D">
      <w:pPr>
        <w:spacing w:line="360" w:lineRule="auto"/>
      </w:pPr>
    </w:p>
    <w:p w:rsidR="000D374B" w:rsidRPr="004E6D6D" w:rsidRDefault="000D374B" w:rsidP="004E6D6D">
      <w:pPr>
        <w:spacing w:line="360" w:lineRule="auto"/>
      </w:pPr>
    </w:p>
    <w:p w:rsidR="007B0D80" w:rsidRDefault="007B0D80" w:rsidP="00E47275">
      <w:pPr>
        <w:pStyle w:val="Ttulo1"/>
      </w:pPr>
      <w:bookmarkStart w:id="8" w:name="_Toc80090944"/>
      <w:bookmarkStart w:id="9" w:name="_Toc80177689"/>
      <w:r>
        <w:t>ASPECTOS METODOLÓGICOS</w:t>
      </w:r>
      <w:bookmarkEnd w:id="8"/>
      <w:bookmarkEnd w:id="9"/>
    </w:p>
    <w:p w:rsidR="006B7C5D" w:rsidRDefault="006B7C5D" w:rsidP="006B7C5D">
      <w:pPr>
        <w:spacing w:after="0" w:line="360" w:lineRule="auto"/>
        <w:rPr>
          <w:b w:val="0"/>
          <w:bCs/>
          <w:sz w:val="24"/>
          <w:szCs w:val="20"/>
        </w:rPr>
      </w:pPr>
    </w:p>
    <w:p w:rsidR="006B7C5D" w:rsidRPr="006B7C5D" w:rsidRDefault="006B7C5D" w:rsidP="006B7C5D">
      <w:pPr>
        <w:spacing w:after="0" w:line="360" w:lineRule="auto"/>
        <w:rPr>
          <w:b w:val="0"/>
          <w:bCs/>
          <w:sz w:val="24"/>
          <w:szCs w:val="20"/>
        </w:rPr>
      </w:pPr>
      <w:r w:rsidRPr="006B7C5D">
        <w:rPr>
          <w:b w:val="0"/>
          <w:bCs/>
          <w:sz w:val="24"/>
          <w:szCs w:val="20"/>
        </w:rPr>
        <w:t>El proceso de formulación llevado a cabo para la obtención del Plan Estratégico Institucional (PEI) correspondiente al período 2021-2024, se basó en una metodología participativa con los diferentes entes involucrados</w:t>
      </w:r>
      <w:r w:rsidR="00A756BE">
        <w:rPr>
          <w:b w:val="0"/>
          <w:bCs/>
          <w:sz w:val="24"/>
          <w:szCs w:val="20"/>
        </w:rPr>
        <w:t>,</w:t>
      </w:r>
      <w:r w:rsidRPr="006B7C5D">
        <w:rPr>
          <w:b w:val="0"/>
          <w:bCs/>
          <w:sz w:val="24"/>
          <w:szCs w:val="20"/>
        </w:rPr>
        <w:t xml:space="preserve"> tanto </w:t>
      </w:r>
      <w:r w:rsidR="00A756BE">
        <w:rPr>
          <w:b w:val="0"/>
          <w:bCs/>
          <w:sz w:val="24"/>
          <w:szCs w:val="20"/>
        </w:rPr>
        <w:t xml:space="preserve">del nivel </w:t>
      </w:r>
      <w:r w:rsidRPr="006B7C5D">
        <w:rPr>
          <w:b w:val="0"/>
          <w:bCs/>
          <w:sz w:val="24"/>
          <w:szCs w:val="20"/>
        </w:rPr>
        <w:t>deliberativo,</w:t>
      </w:r>
      <w:r w:rsidR="00A756BE">
        <w:rPr>
          <w:b w:val="0"/>
          <w:bCs/>
          <w:sz w:val="24"/>
          <w:szCs w:val="20"/>
        </w:rPr>
        <w:t xml:space="preserve"> del</w:t>
      </w:r>
      <w:r w:rsidRPr="006B7C5D">
        <w:rPr>
          <w:b w:val="0"/>
          <w:bCs/>
          <w:sz w:val="24"/>
          <w:szCs w:val="20"/>
        </w:rPr>
        <w:t xml:space="preserve"> ejecutivo como </w:t>
      </w:r>
      <w:r w:rsidR="00A756BE">
        <w:rPr>
          <w:b w:val="0"/>
          <w:bCs/>
          <w:sz w:val="24"/>
          <w:szCs w:val="20"/>
        </w:rPr>
        <w:t xml:space="preserve">del </w:t>
      </w:r>
      <w:r w:rsidRPr="006B7C5D">
        <w:rPr>
          <w:b w:val="0"/>
          <w:bCs/>
          <w:sz w:val="24"/>
          <w:szCs w:val="20"/>
        </w:rPr>
        <w:t>operativo, que permitieron recopilar la información clave directamente desde las fuentes primarias.</w:t>
      </w:r>
    </w:p>
    <w:p w:rsidR="006B7C5D" w:rsidRPr="006B7C5D" w:rsidRDefault="006B7C5D" w:rsidP="006B7C5D">
      <w:pPr>
        <w:spacing w:after="0" w:line="360" w:lineRule="auto"/>
        <w:rPr>
          <w:b w:val="0"/>
          <w:bCs/>
          <w:sz w:val="24"/>
          <w:szCs w:val="20"/>
        </w:rPr>
      </w:pPr>
    </w:p>
    <w:p w:rsidR="006B7C5D" w:rsidRPr="006B7C5D" w:rsidRDefault="006B7C5D" w:rsidP="006B7C5D">
      <w:pPr>
        <w:spacing w:after="0" w:line="360" w:lineRule="auto"/>
        <w:rPr>
          <w:b w:val="0"/>
          <w:bCs/>
          <w:sz w:val="24"/>
          <w:szCs w:val="20"/>
        </w:rPr>
      </w:pPr>
      <w:r w:rsidRPr="006B7C5D">
        <w:rPr>
          <w:b w:val="0"/>
          <w:bCs/>
          <w:sz w:val="24"/>
          <w:szCs w:val="20"/>
        </w:rPr>
        <w:t>En ese sentido, en el marco de las diferentes fases y etapas, se realizaron reuniones, talleres, sesiones de trabajo y consultas como espacios de reflexión y discusión, en las cuales participaron miembros del Consejo de Directores y de las diferentes unidades organizativas, resultando de estas actividades los insumos fundamentales para la formulación del diagnóstico y la definición de los ejes estratégicos, objetivos institucionales, lineamientos y resultados estratégicos, junto a sus indicadores y metas correspondientes al periodo estratégico planificado.</w:t>
      </w:r>
    </w:p>
    <w:p w:rsidR="006B7C5D" w:rsidRPr="006B7C5D" w:rsidRDefault="006B7C5D" w:rsidP="006B7C5D">
      <w:pPr>
        <w:spacing w:after="0" w:line="360" w:lineRule="auto"/>
        <w:rPr>
          <w:b w:val="0"/>
          <w:bCs/>
          <w:sz w:val="24"/>
          <w:szCs w:val="20"/>
        </w:rPr>
      </w:pPr>
    </w:p>
    <w:p w:rsidR="006B7C5D" w:rsidRPr="006B7C5D" w:rsidRDefault="006B7C5D" w:rsidP="006B7C5D">
      <w:pPr>
        <w:spacing w:after="0" w:line="360" w:lineRule="auto"/>
        <w:rPr>
          <w:b w:val="0"/>
          <w:bCs/>
          <w:sz w:val="24"/>
          <w:szCs w:val="20"/>
        </w:rPr>
      </w:pPr>
      <w:r w:rsidRPr="006B7C5D">
        <w:rPr>
          <w:b w:val="0"/>
          <w:bCs/>
          <w:sz w:val="24"/>
          <w:szCs w:val="20"/>
        </w:rPr>
        <w:t>Una actividad que debe ser destacada es la realización de un Taller de Validación del Plan Estratégico Institucional con el Consejo Direct</w:t>
      </w:r>
      <w:r w:rsidR="004E606C">
        <w:rPr>
          <w:b w:val="0"/>
          <w:bCs/>
          <w:sz w:val="24"/>
          <w:szCs w:val="20"/>
        </w:rPr>
        <w:t>ivo</w:t>
      </w:r>
      <w:r w:rsidRPr="006B7C5D">
        <w:rPr>
          <w:b w:val="0"/>
          <w:bCs/>
          <w:sz w:val="24"/>
          <w:szCs w:val="20"/>
        </w:rPr>
        <w:t xml:space="preserve"> y la Dirección Ejecutiva del INAZUCAR, en el cual los participantes hicieron observaciones y aportes que luego fueron incorporadas al documento final.</w:t>
      </w:r>
    </w:p>
    <w:p w:rsidR="006B7C5D" w:rsidRPr="006B7C5D" w:rsidRDefault="006B7C5D" w:rsidP="006B7C5D">
      <w:pPr>
        <w:spacing w:after="0" w:line="360" w:lineRule="auto"/>
        <w:rPr>
          <w:b w:val="0"/>
          <w:bCs/>
          <w:sz w:val="24"/>
          <w:szCs w:val="20"/>
        </w:rPr>
      </w:pPr>
    </w:p>
    <w:p w:rsidR="006B7C5D" w:rsidRPr="006B7C5D" w:rsidRDefault="006B7C5D" w:rsidP="006B7C5D">
      <w:pPr>
        <w:spacing w:after="0" w:line="360" w:lineRule="auto"/>
        <w:rPr>
          <w:b w:val="0"/>
          <w:bCs/>
          <w:sz w:val="24"/>
          <w:szCs w:val="20"/>
        </w:rPr>
      </w:pPr>
      <w:r w:rsidRPr="006B7C5D">
        <w:rPr>
          <w:b w:val="0"/>
          <w:bCs/>
          <w:sz w:val="24"/>
          <w:szCs w:val="20"/>
        </w:rPr>
        <w:t>La metodología fue segmentada en fases y etapas, en el marco de las cuales se realizaron las diferentes actividades que permitieron la confección del producto final que es el PEI 2021-2024. En ese sentido, a continuación, se presenta una descripción del proceso agotado.</w:t>
      </w:r>
    </w:p>
    <w:p w:rsidR="006B7C5D" w:rsidRPr="006B7C5D" w:rsidRDefault="006B7C5D" w:rsidP="006B7C5D">
      <w:pPr>
        <w:spacing w:after="0" w:line="360" w:lineRule="auto"/>
        <w:rPr>
          <w:b w:val="0"/>
          <w:bCs/>
          <w:sz w:val="24"/>
          <w:szCs w:val="20"/>
        </w:rPr>
      </w:pPr>
    </w:p>
    <w:p w:rsidR="006B7C5D" w:rsidRPr="00A756BE" w:rsidRDefault="006B7C5D" w:rsidP="00E47275">
      <w:pPr>
        <w:pStyle w:val="Ttulo1"/>
        <w:numPr>
          <w:ilvl w:val="1"/>
          <w:numId w:val="20"/>
        </w:numPr>
      </w:pPr>
      <w:bookmarkStart w:id="10" w:name="_Toc80090945"/>
      <w:bookmarkStart w:id="11" w:name="_Toc80177690"/>
      <w:r w:rsidRPr="00A756BE">
        <w:t>Fase I: Preparación del Proceso de Planificación</w:t>
      </w:r>
      <w:bookmarkEnd w:id="10"/>
      <w:bookmarkEnd w:id="11"/>
    </w:p>
    <w:p w:rsidR="006B7C5D" w:rsidRDefault="006B7C5D" w:rsidP="006B7C5D">
      <w:pPr>
        <w:spacing w:after="0" w:line="360" w:lineRule="auto"/>
        <w:rPr>
          <w:b w:val="0"/>
          <w:bCs/>
          <w:sz w:val="24"/>
          <w:szCs w:val="20"/>
        </w:rPr>
      </w:pPr>
    </w:p>
    <w:p w:rsidR="004C7FF9" w:rsidRDefault="004C7FF9" w:rsidP="006B7C5D">
      <w:pPr>
        <w:spacing w:after="0" w:line="360" w:lineRule="auto"/>
        <w:rPr>
          <w:b w:val="0"/>
          <w:bCs/>
          <w:sz w:val="24"/>
          <w:szCs w:val="20"/>
        </w:rPr>
      </w:pPr>
      <w:r>
        <w:rPr>
          <w:b w:val="0"/>
          <w:bCs/>
          <w:sz w:val="24"/>
          <w:szCs w:val="20"/>
        </w:rPr>
        <w:t xml:space="preserve">La preparación del proceso de planificación contó con dos momentos claves. Por un lado, la conformación de la Comisión de Planificación Instituciona y; por otro lado, una sesión de </w:t>
      </w:r>
      <w:r>
        <w:rPr>
          <w:b w:val="0"/>
          <w:bCs/>
          <w:sz w:val="24"/>
          <w:szCs w:val="20"/>
        </w:rPr>
        <w:lastRenderedPageBreak/>
        <w:t xml:space="preserve">inducción a la planificación institucional. En ese sentido, a </w:t>
      </w:r>
      <w:r w:rsidR="00AF3E13">
        <w:rPr>
          <w:b w:val="0"/>
          <w:bCs/>
          <w:sz w:val="24"/>
          <w:szCs w:val="20"/>
        </w:rPr>
        <w:t>continuación,</w:t>
      </w:r>
      <w:r>
        <w:rPr>
          <w:b w:val="0"/>
          <w:bCs/>
          <w:sz w:val="24"/>
          <w:szCs w:val="20"/>
        </w:rPr>
        <w:t xml:space="preserve"> se ofrece una breve explicación de ello.</w:t>
      </w:r>
    </w:p>
    <w:p w:rsidR="004C7FF9" w:rsidRDefault="004C7FF9" w:rsidP="006B7C5D">
      <w:pPr>
        <w:spacing w:after="0" w:line="360" w:lineRule="auto"/>
        <w:rPr>
          <w:b w:val="0"/>
          <w:bCs/>
          <w:sz w:val="24"/>
          <w:szCs w:val="20"/>
        </w:rPr>
      </w:pPr>
    </w:p>
    <w:p w:rsidR="004C7FF9" w:rsidRPr="006B7C5D" w:rsidRDefault="004C7FF9" w:rsidP="006B7C5D">
      <w:pPr>
        <w:spacing w:after="0" w:line="360" w:lineRule="auto"/>
        <w:rPr>
          <w:b w:val="0"/>
          <w:bCs/>
          <w:sz w:val="24"/>
          <w:szCs w:val="20"/>
        </w:rPr>
      </w:pPr>
    </w:p>
    <w:p w:rsidR="004C7FF9" w:rsidRPr="004C7FF9" w:rsidRDefault="004C7FF9" w:rsidP="004C7FF9">
      <w:pPr>
        <w:pStyle w:val="Prrafodelista"/>
        <w:numPr>
          <w:ilvl w:val="0"/>
          <w:numId w:val="16"/>
        </w:numPr>
        <w:spacing w:after="0" w:line="360" w:lineRule="auto"/>
        <w:rPr>
          <w:sz w:val="24"/>
          <w:szCs w:val="20"/>
        </w:rPr>
      </w:pPr>
      <w:r w:rsidRPr="004C7FF9">
        <w:rPr>
          <w:sz w:val="24"/>
          <w:szCs w:val="20"/>
        </w:rPr>
        <w:t>Conformación de la Comisión de Planificación Institucional (CPI)</w:t>
      </w:r>
    </w:p>
    <w:p w:rsidR="004C7FF9" w:rsidRDefault="004C7FF9" w:rsidP="006B7C5D">
      <w:pPr>
        <w:spacing w:after="0" w:line="360" w:lineRule="auto"/>
        <w:rPr>
          <w:b w:val="0"/>
          <w:bCs/>
          <w:sz w:val="24"/>
          <w:szCs w:val="20"/>
        </w:rPr>
      </w:pPr>
    </w:p>
    <w:p w:rsidR="006B7C5D" w:rsidRPr="006B7C5D" w:rsidRDefault="006B7C5D" w:rsidP="006B7C5D">
      <w:pPr>
        <w:spacing w:after="0" w:line="360" w:lineRule="auto"/>
        <w:rPr>
          <w:b w:val="0"/>
          <w:bCs/>
          <w:sz w:val="24"/>
          <w:szCs w:val="20"/>
        </w:rPr>
      </w:pPr>
      <w:r w:rsidRPr="006B7C5D">
        <w:rPr>
          <w:b w:val="0"/>
          <w:bCs/>
          <w:sz w:val="24"/>
          <w:szCs w:val="20"/>
        </w:rPr>
        <w:t xml:space="preserve">Para dar inicio al proceso de formulación del PEI, la Dirección Ejecutiva del INAZUCAR, mediante Circular Interna, instruyó la iniciación de los trabajos de cara a la consecución de dicho instrumento con carácter de alto interés para la institución, al tiempo de crear la </w:t>
      </w:r>
      <w:bookmarkStart w:id="12" w:name="_Hlk79571638"/>
      <w:r w:rsidRPr="006B7C5D">
        <w:rPr>
          <w:b w:val="0"/>
          <w:bCs/>
          <w:sz w:val="24"/>
          <w:szCs w:val="20"/>
        </w:rPr>
        <w:t xml:space="preserve">Comisión de Planificación Institucional (CPI) </w:t>
      </w:r>
      <w:bookmarkEnd w:id="12"/>
      <w:r w:rsidRPr="006B7C5D">
        <w:rPr>
          <w:b w:val="0"/>
          <w:bCs/>
          <w:sz w:val="24"/>
          <w:szCs w:val="20"/>
        </w:rPr>
        <w:t xml:space="preserve">responsable de coordinar dichas labores, incluidas la formulación de los Planes Operativos Anuales que se desprendan como consecuencia de la implementación de los lineamientos estratégicos. </w:t>
      </w:r>
    </w:p>
    <w:p w:rsidR="006B7C5D" w:rsidRPr="006B7C5D" w:rsidRDefault="006B7C5D" w:rsidP="006B7C5D">
      <w:pPr>
        <w:spacing w:after="0" w:line="360" w:lineRule="auto"/>
        <w:rPr>
          <w:b w:val="0"/>
          <w:bCs/>
          <w:sz w:val="24"/>
          <w:szCs w:val="20"/>
        </w:rPr>
      </w:pPr>
    </w:p>
    <w:p w:rsidR="006B7C5D" w:rsidRPr="006B7C5D" w:rsidRDefault="006B7C5D" w:rsidP="006B7C5D">
      <w:pPr>
        <w:spacing w:after="0" w:line="360" w:lineRule="auto"/>
        <w:rPr>
          <w:b w:val="0"/>
          <w:bCs/>
          <w:sz w:val="24"/>
          <w:szCs w:val="20"/>
        </w:rPr>
      </w:pPr>
      <w:r w:rsidRPr="006B7C5D">
        <w:rPr>
          <w:b w:val="0"/>
          <w:bCs/>
          <w:sz w:val="24"/>
          <w:szCs w:val="20"/>
        </w:rPr>
        <w:t>En ese orden, la CPI fue conformada de la siguiente manera:</w:t>
      </w:r>
    </w:p>
    <w:p w:rsidR="006B7C5D" w:rsidRPr="006B7C5D" w:rsidRDefault="006B7C5D" w:rsidP="006B7C5D">
      <w:pPr>
        <w:spacing w:after="0" w:line="360" w:lineRule="auto"/>
        <w:rPr>
          <w:b w:val="0"/>
          <w:bCs/>
          <w:sz w:val="24"/>
          <w:szCs w:val="20"/>
        </w:rPr>
      </w:pPr>
    </w:p>
    <w:tbl>
      <w:tblPr>
        <w:tblStyle w:val="TableGrid1"/>
        <w:tblW w:w="0" w:type="auto"/>
        <w:jc w:val="center"/>
        <w:tblLook w:val="04A0"/>
      </w:tblPr>
      <w:tblGrid>
        <w:gridCol w:w="2942"/>
        <w:gridCol w:w="3989"/>
        <w:gridCol w:w="2395"/>
      </w:tblGrid>
      <w:tr w:rsidR="006B7C5D" w:rsidRPr="006B7C5D" w:rsidTr="00A756BE">
        <w:trPr>
          <w:jc w:val="center"/>
        </w:trPr>
        <w:tc>
          <w:tcPr>
            <w:tcW w:w="294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B7C5D" w:rsidRPr="006B7C5D" w:rsidRDefault="006B7C5D" w:rsidP="006B7C5D">
            <w:pPr>
              <w:jc w:val="center"/>
              <w:rPr>
                <w:rFonts w:eastAsia="Arial" w:cs="Arial"/>
                <w:bCs/>
                <w:sz w:val="24"/>
                <w:szCs w:val="24"/>
              </w:rPr>
            </w:pPr>
            <w:r w:rsidRPr="006B7C5D">
              <w:rPr>
                <w:rFonts w:eastAsia="Arial" w:cs="Arial"/>
                <w:bCs/>
                <w:sz w:val="24"/>
                <w:szCs w:val="24"/>
              </w:rPr>
              <w:t>Nombre</w:t>
            </w:r>
          </w:p>
        </w:tc>
        <w:tc>
          <w:tcPr>
            <w:tcW w:w="3989"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B7C5D" w:rsidRPr="006B7C5D" w:rsidRDefault="006B7C5D" w:rsidP="006B7C5D">
            <w:pPr>
              <w:jc w:val="center"/>
              <w:rPr>
                <w:rFonts w:eastAsia="Arial" w:cs="Arial"/>
                <w:bCs/>
                <w:sz w:val="24"/>
                <w:szCs w:val="24"/>
              </w:rPr>
            </w:pPr>
            <w:r w:rsidRPr="006B7C5D">
              <w:rPr>
                <w:rFonts w:eastAsia="Arial" w:cs="Arial"/>
                <w:bCs/>
                <w:sz w:val="24"/>
                <w:szCs w:val="24"/>
              </w:rPr>
              <w:t>Cargo</w:t>
            </w:r>
          </w:p>
        </w:tc>
        <w:tc>
          <w:tcPr>
            <w:tcW w:w="2395"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B7C5D" w:rsidRPr="006B7C5D" w:rsidRDefault="006B7C5D" w:rsidP="006B7C5D">
            <w:pPr>
              <w:jc w:val="center"/>
              <w:rPr>
                <w:rFonts w:eastAsia="Arial" w:cs="Arial"/>
                <w:bCs/>
                <w:sz w:val="24"/>
                <w:szCs w:val="24"/>
              </w:rPr>
            </w:pPr>
            <w:r w:rsidRPr="006B7C5D">
              <w:rPr>
                <w:rFonts w:eastAsia="Arial" w:cs="Arial"/>
                <w:bCs/>
                <w:sz w:val="24"/>
                <w:szCs w:val="24"/>
              </w:rPr>
              <w:t>Función</w:t>
            </w:r>
          </w:p>
        </w:tc>
      </w:tr>
      <w:tr w:rsidR="006B7C5D" w:rsidRPr="006B7C5D" w:rsidTr="00A756BE">
        <w:trPr>
          <w:jc w:val="center"/>
        </w:trPr>
        <w:tc>
          <w:tcPr>
            <w:tcW w:w="2942" w:type="dxa"/>
            <w:tcBorders>
              <w:top w:val="double" w:sz="4" w:space="0" w:color="4472C4" w:themeColor="accent1"/>
              <w:left w:val="double" w:sz="4" w:space="0" w:color="4472C4" w:themeColor="accent1"/>
            </w:tcBorders>
          </w:tcPr>
          <w:p w:rsidR="006B7C5D" w:rsidRPr="006B7C5D" w:rsidRDefault="006B7C5D" w:rsidP="006B7C5D">
            <w:pPr>
              <w:rPr>
                <w:rFonts w:eastAsia="Arial" w:cs="Arial"/>
                <w:b w:val="0"/>
                <w:sz w:val="24"/>
                <w:szCs w:val="24"/>
              </w:rPr>
            </w:pPr>
            <w:r w:rsidRPr="006B7C5D">
              <w:rPr>
                <w:rFonts w:eastAsia="Arial" w:cs="Arial"/>
                <w:b w:val="0"/>
                <w:sz w:val="24"/>
                <w:szCs w:val="24"/>
              </w:rPr>
              <w:t>Lic. Máximo Pérez Pérez</w:t>
            </w:r>
          </w:p>
        </w:tc>
        <w:tc>
          <w:tcPr>
            <w:tcW w:w="3989" w:type="dxa"/>
            <w:tcBorders>
              <w:top w:val="double" w:sz="4" w:space="0" w:color="4472C4" w:themeColor="accent1"/>
            </w:tcBorders>
          </w:tcPr>
          <w:p w:rsidR="006B7C5D" w:rsidRPr="006B7C5D" w:rsidRDefault="006B7C5D" w:rsidP="006B7C5D">
            <w:pPr>
              <w:rPr>
                <w:rFonts w:eastAsia="Arial" w:cs="Arial"/>
                <w:b w:val="0"/>
                <w:sz w:val="24"/>
                <w:szCs w:val="24"/>
              </w:rPr>
            </w:pPr>
            <w:r w:rsidRPr="006B7C5D">
              <w:rPr>
                <w:rFonts w:eastAsia="Arial" w:cs="Arial"/>
                <w:b w:val="0"/>
                <w:sz w:val="24"/>
                <w:szCs w:val="24"/>
              </w:rPr>
              <w:t xml:space="preserve">Director Ejecutivo </w:t>
            </w:r>
          </w:p>
        </w:tc>
        <w:tc>
          <w:tcPr>
            <w:tcW w:w="2395" w:type="dxa"/>
            <w:tcBorders>
              <w:top w:val="double" w:sz="4" w:space="0" w:color="4472C4" w:themeColor="accent1"/>
              <w:right w:val="double" w:sz="4" w:space="0" w:color="4472C4" w:themeColor="accent1"/>
            </w:tcBorders>
          </w:tcPr>
          <w:p w:rsidR="006B7C5D" w:rsidRPr="006B7C5D" w:rsidRDefault="006B7C5D" w:rsidP="006B7C5D">
            <w:pPr>
              <w:rPr>
                <w:rFonts w:eastAsia="Arial" w:cs="Arial"/>
                <w:b w:val="0"/>
                <w:sz w:val="24"/>
                <w:szCs w:val="24"/>
              </w:rPr>
            </w:pPr>
            <w:r w:rsidRPr="006B7C5D">
              <w:rPr>
                <w:rFonts w:eastAsia="Arial" w:cs="Arial"/>
                <w:b w:val="0"/>
                <w:sz w:val="24"/>
                <w:szCs w:val="24"/>
              </w:rPr>
              <w:t xml:space="preserve">Presidente </w:t>
            </w:r>
          </w:p>
        </w:tc>
      </w:tr>
      <w:tr w:rsidR="006B7C5D" w:rsidRPr="006B7C5D" w:rsidTr="00A756BE">
        <w:trPr>
          <w:jc w:val="center"/>
        </w:trPr>
        <w:tc>
          <w:tcPr>
            <w:tcW w:w="2942" w:type="dxa"/>
            <w:tcBorders>
              <w:left w:val="double" w:sz="4" w:space="0" w:color="4472C4" w:themeColor="accent1"/>
            </w:tcBorders>
          </w:tcPr>
          <w:p w:rsidR="006B7C5D" w:rsidRPr="006B7C5D" w:rsidRDefault="006B7C5D" w:rsidP="006B7C5D">
            <w:pPr>
              <w:rPr>
                <w:rFonts w:eastAsia="Arial" w:cs="Arial"/>
                <w:b w:val="0"/>
                <w:sz w:val="24"/>
                <w:szCs w:val="24"/>
              </w:rPr>
            </w:pPr>
            <w:r w:rsidRPr="006B7C5D">
              <w:rPr>
                <w:rFonts w:eastAsia="Arial" w:cs="Arial"/>
                <w:b w:val="0"/>
                <w:sz w:val="24"/>
                <w:szCs w:val="24"/>
              </w:rPr>
              <w:t>Lic. Isaac Terrero Sánchez</w:t>
            </w:r>
          </w:p>
        </w:tc>
        <w:tc>
          <w:tcPr>
            <w:tcW w:w="3989" w:type="dxa"/>
          </w:tcPr>
          <w:p w:rsidR="006B7C5D" w:rsidRPr="006B7C5D" w:rsidRDefault="006B7C5D" w:rsidP="006B7C5D">
            <w:pPr>
              <w:rPr>
                <w:rFonts w:eastAsia="Arial" w:cs="Arial"/>
                <w:b w:val="0"/>
                <w:sz w:val="24"/>
                <w:szCs w:val="24"/>
              </w:rPr>
            </w:pPr>
            <w:r w:rsidRPr="006B7C5D">
              <w:rPr>
                <w:rFonts w:eastAsia="Arial" w:cs="Arial"/>
                <w:b w:val="0"/>
                <w:sz w:val="24"/>
                <w:szCs w:val="24"/>
              </w:rPr>
              <w:t xml:space="preserve">Encargado de Planificación y Desarrollo </w:t>
            </w:r>
          </w:p>
        </w:tc>
        <w:tc>
          <w:tcPr>
            <w:tcW w:w="2395" w:type="dxa"/>
            <w:tcBorders>
              <w:right w:val="double" w:sz="4" w:space="0" w:color="4472C4" w:themeColor="accent1"/>
            </w:tcBorders>
          </w:tcPr>
          <w:p w:rsidR="006B7C5D" w:rsidRPr="006B7C5D" w:rsidRDefault="006B7C5D" w:rsidP="006B7C5D">
            <w:pPr>
              <w:rPr>
                <w:rFonts w:eastAsia="Arial" w:cs="Arial"/>
                <w:b w:val="0"/>
                <w:sz w:val="24"/>
                <w:szCs w:val="24"/>
              </w:rPr>
            </w:pPr>
            <w:r w:rsidRPr="006B7C5D">
              <w:rPr>
                <w:rFonts w:eastAsia="Arial" w:cs="Arial"/>
                <w:b w:val="0"/>
                <w:sz w:val="24"/>
                <w:szCs w:val="24"/>
              </w:rPr>
              <w:t>Coordinador</w:t>
            </w:r>
          </w:p>
        </w:tc>
      </w:tr>
      <w:tr w:rsidR="006B7C5D" w:rsidRPr="006B7C5D" w:rsidTr="00A756BE">
        <w:trPr>
          <w:jc w:val="center"/>
        </w:trPr>
        <w:tc>
          <w:tcPr>
            <w:tcW w:w="2942" w:type="dxa"/>
            <w:tcBorders>
              <w:left w:val="double" w:sz="4" w:space="0" w:color="4472C4" w:themeColor="accent1"/>
            </w:tcBorders>
          </w:tcPr>
          <w:p w:rsidR="006B7C5D" w:rsidRPr="006B7C5D" w:rsidRDefault="006B7C5D" w:rsidP="006B7C5D">
            <w:pPr>
              <w:rPr>
                <w:rFonts w:eastAsia="Arial" w:cs="Arial"/>
                <w:b w:val="0"/>
                <w:sz w:val="24"/>
                <w:szCs w:val="24"/>
              </w:rPr>
            </w:pPr>
            <w:r w:rsidRPr="006B7C5D">
              <w:rPr>
                <w:rFonts w:eastAsia="Arial" w:cs="Arial"/>
                <w:b w:val="0"/>
                <w:sz w:val="24"/>
                <w:szCs w:val="24"/>
              </w:rPr>
              <w:t>Licda. Anny Rosario Correa</w:t>
            </w:r>
          </w:p>
        </w:tc>
        <w:tc>
          <w:tcPr>
            <w:tcW w:w="3989" w:type="dxa"/>
          </w:tcPr>
          <w:p w:rsidR="006B7C5D" w:rsidRPr="006B7C5D" w:rsidRDefault="006B7C5D" w:rsidP="006B7C5D">
            <w:pPr>
              <w:rPr>
                <w:rFonts w:eastAsia="Arial" w:cs="Arial"/>
                <w:b w:val="0"/>
                <w:sz w:val="24"/>
                <w:szCs w:val="24"/>
              </w:rPr>
            </w:pPr>
            <w:r w:rsidRPr="006B7C5D">
              <w:rPr>
                <w:rFonts w:eastAsia="Arial" w:cs="Arial"/>
                <w:b w:val="0"/>
                <w:sz w:val="24"/>
                <w:szCs w:val="24"/>
              </w:rPr>
              <w:t>Encargada de Recursos Humanos</w:t>
            </w:r>
          </w:p>
        </w:tc>
        <w:tc>
          <w:tcPr>
            <w:tcW w:w="2395" w:type="dxa"/>
            <w:tcBorders>
              <w:right w:val="double" w:sz="4" w:space="0" w:color="4472C4" w:themeColor="accent1"/>
            </w:tcBorders>
          </w:tcPr>
          <w:p w:rsidR="006B7C5D" w:rsidRPr="006B7C5D" w:rsidRDefault="006B7C5D" w:rsidP="006B7C5D">
            <w:pPr>
              <w:rPr>
                <w:rFonts w:eastAsia="Arial" w:cs="Arial"/>
                <w:b w:val="0"/>
                <w:sz w:val="24"/>
                <w:szCs w:val="24"/>
              </w:rPr>
            </w:pPr>
            <w:r w:rsidRPr="006B7C5D">
              <w:rPr>
                <w:rFonts w:eastAsia="Arial" w:cs="Arial"/>
                <w:b w:val="0"/>
                <w:sz w:val="24"/>
                <w:szCs w:val="24"/>
              </w:rPr>
              <w:t>Miembro</w:t>
            </w:r>
          </w:p>
        </w:tc>
      </w:tr>
      <w:tr w:rsidR="006B7C5D" w:rsidRPr="006B7C5D" w:rsidTr="00A756BE">
        <w:trPr>
          <w:jc w:val="center"/>
        </w:trPr>
        <w:tc>
          <w:tcPr>
            <w:tcW w:w="2942" w:type="dxa"/>
            <w:tcBorders>
              <w:left w:val="double" w:sz="4" w:space="0" w:color="4472C4" w:themeColor="accent1"/>
            </w:tcBorders>
          </w:tcPr>
          <w:p w:rsidR="006B7C5D" w:rsidRPr="006B7C5D" w:rsidRDefault="006B7C5D" w:rsidP="006B7C5D">
            <w:pPr>
              <w:rPr>
                <w:rFonts w:eastAsia="Arial" w:cs="Arial"/>
                <w:b w:val="0"/>
                <w:sz w:val="24"/>
                <w:szCs w:val="24"/>
              </w:rPr>
            </w:pPr>
            <w:r w:rsidRPr="006B7C5D">
              <w:rPr>
                <w:rFonts w:eastAsia="Arial" w:cs="Arial"/>
                <w:b w:val="0"/>
                <w:sz w:val="24"/>
                <w:szCs w:val="24"/>
              </w:rPr>
              <w:t>Lic. Miguel Cabrera</w:t>
            </w:r>
          </w:p>
        </w:tc>
        <w:tc>
          <w:tcPr>
            <w:tcW w:w="3989" w:type="dxa"/>
          </w:tcPr>
          <w:p w:rsidR="006B7C5D" w:rsidRPr="006B7C5D" w:rsidRDefault="006B7C5D" w:rsidP="006B7C5D">
            <w:pPr>
              <w:rPr>
                <w:rFonts w:eastAsia="Arial" w:cs="Arial"/>
                <w:b w:val="0"/>
                <w:sz w:val="24"/>
                <w:szCs w:val="24"/>
              </w:rPr>
            </w:pPr>
            <w:r w:rsidRPr="006B7C5D">
              <w:rPr>
                <w:rFonts w:eastAsia="Arial" w:cs="Arial"/>
                <w:b w:val="0"/>
                <w:sz w:val="24"/>
                <w:szCs w:val="24"/>
              </w:rPr>
              <w:t>Encargado Administrativo Financiero</w:t>
            </w:r>
          </w:p>
        </w:tc>
        <w:tc>
          <w:tcPr>
            <w:tcW w:w="2395" w:type="dxa"/>
            <w:tcBorders>
              <w:right w:val="double" w:sz="4" w:space="0" w:color="4472C4" w:themeColor="accent1"/>
            </w:tcBorders>
          </w:tcPr>
          <w:p w:rsidR="006B7C5D" w:rsidRPr="006B7C5D" w:rsidRDefault="006B7C5D" w:rsidP="006B7C5D">
            <w:pPr>
              <w:rPr>
                <w:rFonts w:eastAsia="Arial" w:cs="Arial"/>
                <w:b w:val="0"/>
                <w:sz w:val="24"/>
                <w:szCs w:val="24"/>
              </w:rPr>
            </w:pPr>
            <w:r w:rsidRPr="006B7C5D">
              <w:rPr>
                <w:rFonts w:eastAsia="Arial" w:cs="Arial"/>
                <w:b w:val="0"/>
                <w:sz w:val="24"/>
                <w:szCs w:val="24"/>
              </w:rPr>
              <w:t xml:space="preserve">Miembro </w:t>
            </w:r>
          </w:p>
        </w:tc>
      </w:tr>
      <w:tr w:rsidR="006B7C5D" w:rsidRPr="006B7C5D" w:rsidTr="00A756BE">
        <w:trPr>
          <w:jc w:val="center"/>
        </w:trPr>
        <w:tc>
          <w:tcPr>
            <w:tcW w:w="2942" w:type="dxa"/>
            <w:tcBorders>
              <w:left w:val="double" w:sz="4" w:space="0" w:color="4472C4" w:themeColor="accent1"/>
            </w:tcBorders>
          </w:tcPr>
          <w:p w:rsidR="006B7C5D" w:rsidRPr="006B7C5D" w:rsidRDefault="006B7C5D" w:rsidP="006B7C5D">
            <w:pPr>
              <w:rPr>
                <w:rFonts w:eastAsia="Arial" w:cs="Arial"/>
                <w:b w:val="0"/>
                <w:sz w:val="24"/>
                <w:szCs w:val="24"/>
              </w:rPr>
            </w:pPr>
            <w:r w:rsidRPr="006B7C5D">
              <w:rPr>
                <w:rFonts w:eastAsia="Arial" w:cs="Arial"/>
                <w:b w:val="0"/>
                <w:sz w:val="24"/>
                <w:szCs w:val="24"/>
              </w:rPr>
              <w:t>Lic. Arsenio Mercado</w:t>
            </w:r>
            <w:r w:rsidRPr="006B7C5D">
              <w:rPr>
                <w:rFonts w:eastAsia="Arial" w:cs="Arial"/>
                <w:b w:val="0"/>
                <w:sz w:val="24"/>
                <w:szCs w:val="24"/>
                <w:vertAlign w:val="superscript"/>
              </w:rPr>
              <w:footnoteReference w:id="2"/>
            </w:r>
          </w:p>
        </w:tc>
        <w:tc>
          <w:tcPr>
            <w:tcW w:w="3989" w:type="dxa"/>
          </w:tcPr>
          <w:p w:rsidR="006B7C5D" w:rsidRPr="006B7C5D" w:rsidRDefault="006B7C5D" w:rsidP="006B7C5D">
            <w:pPr>
              <w:rPr>
                <w:rFonts w:eastAsia="Arial" w:cs="Arial"/>
                <w:b w:val="0"/>
                <w:sz w:val="24"/>
                <w:szCs w:val="24"/>
              </w:rPr>
            </w:pPr>
            <w:r w:rsidRPr="006B7C5D">
              <w:rPr>
                <w:rFonts w:eastAsia="Arial" w:cs="Arial"/>
                <w:b w:val="0"/>
                <w:sz w:val="24"/>
                <w:szCs w:val="24"/>
              </w:rPr>
              <w:t xml:space="preserve">Encargado de la Sección Jurídica  </w:t>
            </w:r>
          </w:p>
        </w:tc>
        <w:tc>
          <w:tcPr>
            <w:tcW w:w="2395" w:type="dxa"/>
            <w:tcBorders>
              <w:right w:val="double" w:sz="4" w:space="0" w:color="4472C4" w:themeColor="accent1"/>
            </w:tcBorders>
          </w:tcPr>
          <w:p w:rsidR="006B7C5D" w:rsidRPr="006B7C5D" w:rsidRDefault="006B7C5D" w:rsidP="006B7C5D">
            <w:pPr>
              <w:rPr>
                <w:rFonts w:eastAsia="Arial" w:cs="Arial"/>
                <w:b w:val="0"/>
                <w:sz w:val="24"/>
                <w:szCs w:val="24"/>
              </w:rPr>
            </w:pPr>
            <w:r w:rsidRPr="006B7C5D">
              <w:rPr>
                <w:rFonts w:eastAsia="Arial" w:cs="Arial"/>
                <w:b w:val="0"/>
                <w:sz w:val="24"/>
                <w:szCs w:val="24"/>
              </w:rPr>
              <w:t xml:space="preserve">Miembro </w:t>
            </w:r>
          </w:p>
        </w:tc>
      </w:tr>
      <w:tr w:rsidR="006B7C5D" w:rsidRPr="006B7C5D" w:rsidTr="00A756BE">
        <w:trPr>
          <w:jc w:val="center"/>
        </w:trPr>
        <w:tc>
          <w:tcPr>
            <w:tcW w:w="2942" w:type="dxa"/>
            <w:tcBorders>
              <w:left w:val="double" w:sz="4" w:space="0" w:color="4472C4" w:themeColor="accent1"/>
            </w:tcBorders>
          </w:tcPr>
          <w:p w:rsidR="006B7C5D" w:rsidRPr="006B7C5D" w:rsidRDefault="006B7C5D" w:rsidP="006B7C5D">
            <w:pPr>
              <w:rPr>
                <w:rFonts w:eastAsia="Arial" w:cs="Arial"/>
                <w:b w:val="0"/>
                <w:sz w:val="24"/>
                <w:szCs w:val="24"/>
              </w:rPr>
            </w:pPr>
            <w:r w:rsidRPr="006B7C5D">
              <w:rPr>
                <w:rFonts w:eastAsia="Arial" w:cs="Arial"/>
                <w:b w:val="0"/>
                <w:sz w:val="24"/>
                <w:szCs w:val="24"/>
              </w:rPr>
              <w:t>Ing. Alison Antigua</w:t>
            </w:r>
            <w:r w:rsidRPr="006B7C5D">
              <w:rPr>
                <w:rFonts w:eastAsia="Arial" w:cs="Arial"/>
                <w:b w:val="0"/>
                <w:sz w:val="24"/>
                <w:szCs w:val="24"/>
                <w:vertAlign w:val="superscript"/>
              </w:rPr>
              <w:footnoteReference w:id="3"/>
            </w:r>
          </w:p>
        </w:tc>
        <w:tc>
          <w:tcPr>
            <w:tcW w:w="3989" w:type="dxa"/>
          </w:tcPr>
          <w:p w:rsidR="006B7C5D" w:rsidRPr="006B7C5D" w:rsidRDefault="006B7C5D" w:rsidP="006B7C5D">
            <w:pPr>
              <w:rPr>
                <w:rFonts w:eastAsia="Arial" w:cs="Arial"/>
                <w:b w:val="0"/>
                <w:sz w:val="24"/>
                <w:szCs w:val="24"/>
              </w:rPr>
            </w:pPr>
            <w:r w:rsidRPr="006B7C5D">
              <w:rPr>
                <w:rFonts w:eastAsia="Arial" w:cs="Arial"/>
                <w:b w:val="0"/>
                <w:sz w:val="24"/>
                <w:szCs w:val="24"/>
              </w:rPr>
              <w:t>Encargado de Tecnología de Información y la Comunicación</w:t>
            </w:r>
          </w:p>
        </w:tc>
        <w:tc>
          <w:tcPr>
            <w:tcW w:w="2395" w:type="dxa"/>
            <w:tcBorders>
              <w:right w:val="double" w:sz="4" w:space="0" w:color="4472C4" w:themeColor="accent1"/>
            </w:tcBorders>
          </w:tcPr>
          <w:p w:rsidR="006B7C5D" w:rsidRPr="006B7C5D" w:rsidRDefault="006B7C5D" w:rsidP="006B7C5D">
            <w:pPr>
              <w:rPr>
                <w:rFonts w:eastAsia="Arial" w:cs="Arial"/>
                <w:b w:val="0"/>
                <w:sz w:val="24"/>
                <w:szCs w:val="24"/>
              </w:rPr>
            </w:pPr>
            <w:r w:rsidRPr="006B7C5D">
              <w:rPr>
                <w:rFonts w:eastAsia="Arial" w:cs="Arial"/>
                <w:b w:val="0"/>
                <w:sz w:val="24"/>
                <w:szCs w:val="24"/>
              </w:rPr>
              <w:t>Miembro</w:t>
            </w:r>
          </w:p>
        </w:tc>
      </w:tr>
      <w:tr w:rsidR="006B7C5D" w:rsidRPr="006B7C5D" w:rsidTr="00A756BE">
        <w:trPr>
          <w:jc w:val="center"/>
        </w:trPr>
        <w:tc>
          <w:tcPr>
            <w:tcW w:w="2942" w:type="dxa"/>
            <w:tcBorders>
              <w:left w:val="double" w:sz="4" w:space="0" w:color="4472C4" w:themeColor="accent1"/>
              <w:bottom w:val="double" w:sz="4" w:space="0" w:color="4472C4" w:themeColor="accent1"/>
            </w:tcBorders>
          </w:tcPr>
          <w:p w:rsidR="006B7C5D" w:rsidRPr="006B7C5D" w:rsidRDefault="006B7C5D" w:rsidP="006B7C5D">
            <w:pPr>
              <w:rPr>
                <w:rFonts w:eastAsia="Arial" w:cs="Arial"/>
                <w:b w:val="0"/>
                <w:sz w:val="24"/>
                <w:szCs w:val="24"/>
              </w:rPr>
            </w:pPr>
            <w:r w:rsidRPr="006B7C5D">
              <w:rPr>
                <w:rFonts w:eastAsia="Arial" w:cs="Arial"/>
                <w:b w:val="0"/>
                <w:sz w:val="24"/>
                <w:szCs w:val="24"/>
              </w:rPr>
              <w:t>Lic. JhonnyMiniño</w:t>
            </w:r>
          </w:p>
        </w:tc>
        <w:tc>
          <w:tcPr>
            <w:tcW w:w="3989" w:type="dxa"/>
            <w:tcBorders>
              <w:bottom w:val="double" w:sz="4" w:space="0" w:color="4472C4" w:themeColor="accent1"/>
            </w:tcBorders>
          </w:tcPr>
          <w:p w:rsidR="006B7C5D" w:rsidRPr="006B7C5D" w:rsidRDefault="006B7C5D" w:rsidP="006B7C5D">
            <w:pPr>
              <w:rPr>
                <w:rFonts w:eastAsia="Arial" w:cs="Arial"/>
                <w:b w:val="0"/>
                <w:sz w:val="24"/>
                <w:szCs w:val="24"/>
              </w:rPr>
            </w:pPr>
            <w:r w:rsidRPr="006B7C5D">
              <w:rPr>
                <w:rFonts w:eastAsia="Arial" w:cs="Arial"/>
                <w:b w:val="0"/>
                <w:sz w:val="24"/>
                <w:szCs w:val="24"/>
              </w:rPr>
              <w:t>Analista Desarrollo Institucional</w:t>
            </w:r>
          </w:p>
        </w:tc>
        <w:tc>
          <w:tcPr>
            <w:tcW w:w="2395" w:type="dxa"/>
            <w:tcBorders>
              <w:bottom w:val="double" w:sz="4" w:space="0" w:color="4472C4" w:themeColor="accent1"/>
              <w:right w:val="double" w:sz="4" w:space="0" w:color="4472C4" w:themeColor="accent1"/>
            </w:tcBorders>
          </w:tcPr>
          <w:p w:rsidR="006B7C5D" w:rsidRPr="006B7C5D" w:rsidRDefault="006B7C5D" w:rsidP="006B7C5D">
            <w:pPr>
              <w:rPr>
                <w:rFonts w:eastAsia="Arial" w:cs="Arial"/>
                <w:b w:val="0"/>
                <w:sz w:val="24"/>
                <w:szCs w:val="24"/>
              </w:rPr>
            </w:pPr>
            <w:r w:rsidRPr="006B7C5D">
              <w:rPr>
                <w:rFonts w:eastAsia="Arial" w:cs="Arial"/>
                <w:b w:val="0"/>
                <w:sz w:val="24"/>
                <w:szCs w:val="24"/>
              </w:rPr>
              <w:t xml:space="preserve">Miembro </w:t>
            </w:r>
          </w:p>
        </w:tc>
      </w:tr>
    </w:tbl>
    <w:p w:rsidR="006B7C5D" w:rsidRPr="006B7C5D" w:rsidRDefault="006B7C5D" w:rsidP="006B7C5D">
      <w:pPr>
        <w:spacing w:after="0" w:line="360" w:lineRule="auto"/>
        <w:rPr>
          <w:b w:val="0"/>
          <w:bCs/>
          <w:sz w:val="24"/>
          <w:szCs w:val="20"/>
        </w:rPr>
      </w:pPr>
      <w:r w:rsidRPr="006B7C5D">
        <w:rPr>
          <w:b w:val="0"/>
          <w:bCs/>
          <w:sz w:val="24"/>
          <w:szCs w:val="20"/>
        </w:rPr>
        <w:tab/>
      </w:r>
    </w:p>
    <w:p w:rsidR="006B7C5D" w:rsidRPr="004C7FF9" w:rsidRDefault="004C7FF9" w:rsidP="004C7FF9">
      <w:pPr>
        <w:pStyle w:val="Prrafodelista"/>
        <w:numPr>
          <w:ilvl w:val="0"/>
          <w:numId w:val="15"/>
        </w:numPr>
        <w:spacing w:after="0" w:line="360" w:lineRule="auto"/>
        <w:rPr>
          <w:sz w:val="24"/>
          <w:szCs w:val="20"/>
        </w:rPr>
      </w:pPr>
      <w:r>
        <w:rPr>
          <w:sz w:val="24"/>
          <w:szCs w:val="20"/>
        </w:rPr>
        <w:t>Sesión</w:t>
      </w:r>
      <w:r w:rsidR="006B7C5D" w:rsidRPr="004C7FF9">
        <w:rPr>
          <w:sz w:val="24"/>
          <w:szCs w:val="20"/>
        </w:rPr>
        <w:t xml:space="preserve"> de Inducción a la Planificación Institucional </w:t>
      </w:r>
    </w:p>
    <w:p w:rsidR="006B7C5D" w:rsidRPr="006B7C5D" w:rsidRDefault="006B7C5D" w:rsidP="006B7C5D">
      <w:pPr>
        <w:spacing w:after="0" w:line="360" w:lineRule="auto"/>
        <w:rPr>
          <w:b w:val="0"/>
          <w:bCs/>
          <w:sz w:val="24"/>
          <w:szCs w:val="20"/>
        </w:rPr>
      </w:pPr>
    </w:p>
    <w:p w:rsidR="006B7C5D" w:rsidRPr="006B7C5D" w:rsidRDefault="006B7C5D" w:rsidP="006B7C5D">
      <w:pPr>
        <w:spacing w:after="0" w:line="360" w:lineRule="auto"/>
        <w:rPr>
          <w:b w:val="0"/>
          <w:bCs/>
          <w:sz w:val="24"/>
          <w:szCs w:val="20"/>
        </w:rPr>
      </w:pPr>
      <w:r w:rsidRPr="006B7C5D">
        <w:rPr>
          <w:b w:val="0"/>
          <w:bCs/>
          <w:sz w:val="24"/>
          <w:szCs w:val="20"/>
        </w:rPr>
        <w:t xml:space="preserve">En esta etapa se llevó a cabo una </w:t>
      </w:r>
      <w:r w:rsidR="004C7FF9">
        <w:rPr>
          <w:b w:val="0"/>
          <w:bCs/>
          <w:sz w:val="24"/>
          <w:szCs w:val="20"/>
        </w:rPr>
        <w:t>sesión de trabajo</w:t>
      </w:r>
      <w:r w:rsidRPr="006B7C5D">
        <w:rPr>
          <w:b w:val="0"/>
          <w:bCs/>
          <w:sz w:val="24"/>
          <w:szCs w:val="20"/>
        </w:rPr>
        <w:t xml:space="preserve">, por medio de la cual la CPI realizó una inducción con el personal de las áreas claves sobre el Sistema Nacional de </w:t>
      </w:r>
      <w:r w:rsidR="004C7FF9">
        <w:rPr>
          <w:b w:val="0"/>
          <w:bCs/>
          <w:sz w:val="24"/>
          <w:szCs w:val="20"/>
        </w:rPr>
        <w:t>P</w:t>
      </w:r>
      <w:r w:rsidRPr="006B7C5D">
        <w:rPr>
          <w:b w:val="0"/>
          <w:bCs/>
          <w:sz w:val="24"/>
          <w:szCs w:val="20"/>
        </w:rPr>
        <w:t xml:space="preserve">lanificación e Inversión Pública establecido en la Ley Núm. 498-06 de Planificación e Inversión Pública, La Ley </w:t>
      </w:r>
      <w:r w:rsidRPr="006B7C5D">
        <w:rPr>
          <w:b w:val="0"/>
          <w:bCs/>
          <w:sz w:val="24"/>
          <w:szCs w:val="20"/>
        </w:rPr>
        <w:lastRenderedPageBreak/>
        <w:t>Núm. 1-12 que establece la Estrategia Nacional de Desarrollo 2020-2030 (END 2030) y la Ley Núm. 618, del 16 de febrero de 1965</w:t>
      </w:r>
      <w:r w:rsidR="004C7FF9">
        <w:rPr>
          <w:b w:val="0"/>
          <w:bCs/>
          <w:sz w:val="24"/>
          <w:szCs w:val="20"/>
        </w:rPr>
        <w:t>,</w:t>
      </w:r>
      <w:r w:rsidRPr="006B7C5D">
        <w:rPr>
          <w:b w:val="0"/>
          <w:bCs/>
          <w:sz w:val="24"/>
          <w:szCs w:val="20"/>
        </w:rPr>
        <w:t xml:space="preserve"> mediante la cual se crea el Instituto Azucarero Dominicano (INAZUCAR).</w:t>
      </w:r>
    </w:p>
    <w:p w:rsidR="006B7C5D" w:rsidRPr="006B7C5D" w:rsidRDefault="006B7C5D" w:rsidP="006B7C5D">
      <w:pPr>
        <w:spacing w:after="0" w:line="360" w:lineRule="auto"/>
        <w:rPr>
          <w:b w:val="0"/>
          <w:bCs/>
          <w:sz w:val="24"/>
          <w:szCs w:val="20"/>
        </w:rPr>
      </w:pPr>
    </w:p>
    <w:p w:rsidR="006B7C5D" w:rsidRPr="006B7C5D" w:rsidRDefault="006B7C5D" w:rsidP="006B7C5D">
      <w:pPr>
        <w:spacing w:after="0" w:line="360" w:lineRule="auto"/>
        <w:rPr>
          <w:b w:val="0"/>
          <w:bCs/>
          <w:sz w:val="24"/>
          <w:szCs w:val="20"/>
        </w:rPr>
      </w:pPr>
      <w:r w:rsidRPr="006B7C5D">
        <w:rPr>
          <w:b w:val="0"/>
          <w:bCs/>
          <w:sz w:val="24"/>
          <w:szCs w:val="20"/>
        </w:rPr>
        <w:t xml:space="preserve">Igualmente, se socializaron los aspectos propios del proceso de planificación institucional iniciado con la </w:t>
      </w:r>
      <w:r w:rsidR="004C7FF9">
        <w:rPr>
          <w:b w:val="0"/>
          <w:bCs/>
          <w:sz w:val="24"/>
          <w:szCs w:val="20"/>
        </w:rPr>
        <w:t>Circular</w:t>
      </w:r>
      <w:r w:rsidRPr="006B7C5D">
        <w:rPr>
          <w:b w:val="0"/>
          <w:bCs/>
          <w:sz w:val="24"/>
          <w:szCs w:val="20"/>
        </w:rPr>
        <w:t xml:space="preserve"> de la Dirección Ejecutiva, explicando las diferentes fases del mismo, así como el nivel de participación e involucramiento de cada una de las unidades organizativas y de los servidores públicos que forman parte de la institución. </w:t>
      </w:r>
    </w:p>
    <w:p w:rsidR="006B7C5D" w:rsidRPr="006B7C5D" w:rsidRDefault="006B7C5D" w:rsidP="006B7C5D">
      <w:pPr>
        <w:spacing w:after="0" w:line="360" w:lineRule="auto"/>
        <w:rPr>
          <w:b w:val="0"/>
          <w:bCs/>
          <w:sz w:val="24"/>
          <w:szCs w:val="20"/>
        </w:rPr>
      </w:pPr>
    </w:p>
    <w:p w:rsidR="006B7C5D" w:rsidRPr="004C7FF9" w:rsidRDefault="006B7C5D" w:rsidP="00E47275">
      <w:pPr>
        <w:pStyle w:val="Ttulo1"/>
        <w:numPr>
          <w:ilvl w:val="1"/>
          <w:numId w:val="20"/>
        </w:numPr>
      </w:pPr>
      <w:bookmarkStart w:id="13" w:name="_Toc80090946"/>
      <w:bookmarkStart w:id="14" w:name="_Toc80177691"/>
      <w:bookmarkStart w:id="15" w:name="_Hlk79669078"/>
      <w:r w:rsidRPr="004C7FF9">
        <w:t>Fase II: Diagnóstico Institucional</w:t>
      </w:r>
      <w:bookmarkEnd w:id="13"/>
      <w:bookmarkEnd w:id="14"/>
    </w:p>
    <w:bookmarkEnd w:id="15"/>
    <w:p w:rsidR="006B7C5D" w:rsidRPr="006B7C5D" w:rsidRDefault="006B7C5D" w:rsidP="006B7C5D">
      <w:pPr>
        <w:spacing w:after="0" w:line="360" w:lineRule="auto"/>
        <w:rPr>
          <w:b w:val="0"/>
          <w:bCs/>
          <w:sz w:val="24"/>
          <w:szCs w:val="20"/>
        </w:rPr>
      </w:pPr>
    </w:p>
    <w:p w:rsidR="006B7C5D" w:rsidRPr="006B7C5D" w:rsidRDefault="006B7C5D" w:rsidP="006B7C5D">
      <w:pPr>
        <w:spacing w:after="0" w:line="360" w:lineRule="auto"/>
        <w:rPr>
          <w:b w:val="0"/>
          <w:bCs/>
          <w:sz w:val="24"/>
          <w:szCs w:val="20"/>
        </w:rPr>
      </w:pPr>
      <w:r w:rsidRPr="006B7C5D">
        <w:rPr>
          <w:b w:val="0"/>
          <w:bCs/>
          <w:sz w:val="24"/>
          <w:szCs w:val="20"/>
        </w:rPr>
        <w:t>Previo a la formulación del presente PEI, se llevó a cabo la fase diagnóstica con sus diferentes etapas y actividades, las cuales se describen a continuación.</w:t>
      </w:r>
    </w:p>
    <w:p w:rsidR="006B7C5D" w:rsidRPr="006B7C5D" w:rsidRDefault="006B7C5D" w:rsidP="006B7C5D">
      <w:pPr>
        <w:spacing w:after="0" w:line="360" w:lineRule="auto"/>
        <w:rPr>
          <w:b w:val="0"/>
          <w:bCs/>
          <w:sz w:val="24"/>
          <w:szCs w:val="20"/>
        </w:rPr>
      </w:pPr>
    </w:p>
    <w:p w:rsidR="006B7C5D" w:rsidRPr="00457B8E" w:rsidRDefault="006B7C5D" w:rsidP="00457B8E">
      <w:pPr>
        <w:pStyle w:val="Prrafodelista"/>
        <w:numPr>
          <w:ilvl w:val="0"/>
          <w:numId w:val="15"/>
        </w:numPr>
        <w:spacing w:after="0" w:line="360" w:lineRule="auto"/>
        <w:rPr>
          <w:sz w:val="24"/>
          <w:szCs w:val="20"/>
        </w:rPr>
      </w:pPr>
      <w:r w:rsidRPr="00457B8E">
        <w:rPr>
          <w:sz w:val="24"/>
          <w:szCs w:val="20"/>
        </w:rPr>
        <w:t>Diseño de Herramientas para el Diagnóstico</w:t>
      </w:r>
    </w:p>
    <w:p w:rsidR="006B7C5D" w:rsidRPr="006B7C5D" w:rsidRDefault="006B7C5D" w:rsidP="006B7C5D">
      <w:pPr>
        <w:spacing w:after="0" w:line="360" w:lineRule="auto"/>
        <w:rPr>
          <w:b w:val="0"/>
          <w:bCs/>
          <w:sz w:val="24"/>
          <w:szCs w:val="20"/>
        </w:rPr>
      </w:pPr>
    </w:p>
    <w:p w:rsidR="006B7C5D" w:rsidRPr="006B7C5D" w:rsidRDefault="006B7C5D" w:rsidP="006B7C5D">
      <w:pPr>
        <w:spacing w:after="0" w:line="360" w:lineRule="auto"/>
        <w:rPr>
          <w:b w:val="0"/>
          <w:bCs/>
          <w:sz w:val="24"/>
          <w:szCs w:val="20"/>
        </w:rPr>
      </w:pPr>
      <w:r w:rsidRPr="006B7C5D">
        <w:rPr>
          <w:b w:val="0"/>
          <w:bCs/>
          <w:sz w:val="24"/>
          <w:szCs w:val="20"/>
        </w:rPr>
        <w:t>En esta etapa, la CPI llevó a cabo el diseño de las diferentes herramientas técnicas que se aplicaron para la recolección de información relevantes para el Diagnóstico, incluyendo la preparación de las reuniones, talleres, sesiones de trabajo y consultas en donde se aplicaron dichos instrumentos.</w:t>
      </w:r>
    </w:p>
    <w:p w:rsidR="006B7C5D" w:rsidRPr="006B7C5D" w:rsidRDefault="006B7C5D" w:rsidP="006B7C5D">
      <w:pPr>
        <w:spacing w:after="0" w:line="360" w:lineRule="auto"/>
        <w:rPr>
          <w:b w:val="0"/>
          <w:bCs/>
          <w:sz w:val="24"/>
          <w:szCs w:val="20"/>
        </w:rPr>
      </w:pPr>
    </w:p>
    <w:p w:rsidR="006B7C5D" w:rsidRPr="00457B8E" w:rsidRDefault="00457B8E" w:rsidP="00457B8E">
      <w:pPr>
        <w:pStyle w:val="Prrafodelista"/>
        <w:numPr>
          <w:ilvl w:val="0"/>
          <w:numId w:val="15"/>
        </w:numPr>
        <w:spacing w:after="0" w:line="360" w:lineRule="auto"/>
        <w:rPr>
          <w:sz w:val="24"/>
          <w:szCs w:val="20"/>
        </w:rPr>
      </w:pPr>
      <w:r w:rsidRPr="00457B8E">
        <w:rPr>
          <w:sz w:val="24"/>
          <w:szCs w:val="20"/>
        </w:rPr>
        <w:t>Realización del</w:t>
      </w:r>
      <w:r w:rsidR="006B7C5D" w:rsidRPr="00457B8E">
        <w:rPr>
          <w:sz w:val="24"/>
          <w:szCs w:val="20"/>
        </w:rPr>
        <w:t xml:space="preserve"> Diagnóstico Institucional </w:t>
      </w:r>
    </w:p>
    <w:p w:rsidR="006B7C5D" w:rsidRPr="006B7C5D" w:rsidRDefault="006B7C5D" w:rsidP="006B7C5D">
      <w:pPr>
        <w:spacing w:after="0" w:line="360" w:lineRule="auto"/>
        <w:rPr>
          <w:b w:val="0"/>
          <w:bCs/>
          <w:sz w:val="24"/>
          <w:szCs w:val="20"/>
        </w:rPr>
      </w:pPr>
    </w:p>
    <w:p w:rsidR="006B7C5D" w:rsidRPr="006B7C5D" w:rsidRDefault="006B7C5D" w:rsidP="006B7C5D">
      <w:pPr>
        <w:spacing w:after="0" w:line="360" w:lineRule="auto"/>
        <w:rPr>
          <w:b w:val="0"/>
          <w:bCs/>
          <w:sz w:val="24"/>
          <w:szCs w:val="20"/>
        </w:rPr>
      </w:pPr>
      <w:r w:rsidRPr="006B7C5D">
        <w:rPr>
          <w:b w:val="0"/>
          <w:bCs/>
          <w:sz w:val="24"/>
          <w:szCs w:val="20"/>
        </w:rPr>
        <w:t xml:space="preserve">El proceso de </w:t>
      </w:r>
      <w:r w:rsidR="00457B8E">
        <w:rPr>
          <w:b w:val="0"/>
          <w:bCs/>
          <w:sz w:val="24"/>
          <w:szCs w:val="20"/>
        </w:rPr>
        <w:t>D</w:t>
      </w:r>
      <w:r w:rsidRPr="006B7C5D">
        <w:rPr>
          <w:b w:val="0"/>
          <w:bCs/>
          <w:sz w:val="24"/>
          <w:szCs w:val="20"/>
        </w:rPr>
        <w:t>iagnóstico Institucional consistió en un</w:t>
      </w:r>
      <w:r w:rsidR="00457B8E">
        <w:rPr>
          <w:b w:val="0"/>
          <w:bCs/>
          <w:sz w:val="24"/>
          <w:szCs w:val="20"/>
        </w:rPr>
        <w:t>a</w:t>
      </w:r>
      <w:r w:rsidRPr="006B7C5D">
        <w:rPr>
          <w:b w:val="0"/>
          <w:bCs/>
          <w:sz w:val="24"/>
          <w:szCs w:val="20"/>
        </w:rPr>
        <w:t xml:space="preserve"> etapa dirigida a recopilar información sobre la situación actual de la institución en sus diferentes dimensiones y áreas de intervención de acuerdo con el rol asignado por el marco legal relativo a la misma, tomando en consideración el contexto social, económico y político que caracteriza el país y su impacto en el cumplimiento de la misión institucional.</w:t>
      </w:r>
    </w:p>
    <w:p w:rsidR="006B7C5D" w:rsidRPr="006B7C5D" w:rsidRDefault="006B7C5D" w:rsidP="006B7C5D">
      <w:pPr>
        <w:spacing w:after="0" w:line="360" w:lineRule="auto"/>
        <w:rPr>
          <w:b w:val="0"/>
          <w:bCs/>
          <w:sz w:val="24"/>
          <w:szCs w:val="20"/>
        </w:rPr>
      </w:pPr>
    </w:p>
    <w:p w:rsidR="006B7C5D" w:rsidRDefault="006B7C5D" w:rsidP="006B7C5D">
      <w:pPr>
        <w:spacing w:after="0" w:line="360" w:lineRule="auto"/>
        <w:rPr>
          <w:b w:val="0"/>
          <w:bCs/>
          <w:sz w:val="24"/>
          <w:szCs w:val="20"/>
        </w:rPr>
      </w:pPr>
      <w:r w:rsidRPr="006B7C5D">
        <w:rPr>
          <w:b w:val="0"/>
          <w:bCs/>
          <w:sz w:val="24"/>
          <w:szCs w:val="20"/>
        </w:rPr>
        <w:t xml:space="preserve">La elaboración del Diagnóstico Institucional incluyó la realización de talleres, sesiones de trabajo y consultas con líderes y personal clave de las diferentes unidades organizativas de la </w:t>
      </w:r>
      <w:r w:rsidRPr="006B7C5D">
        <w:rPr>
          <w:b w:val="0"/>
          <w:bCs/>
          <w:sz w:val="24"/>
          <w:szCs w:val="20"/>
        </w:rPr>
        <w:lastRenderedPageBreak/>
        <w:t>institución, con el objeto de obtener una valoración situacional de las actuaciones institucionales</w:t>
      </w:r>
      <w:r w:rsidR="00457B8E">
        <w:rPr>
          <w:b w:val="0"/>
          <w:bCs/>
          <w:sz w:val="24"/>
          <w:szCs w:val="20"/>
        </w:rPr>
        <w:t>, así como</w:t>
      </w:r>
      <w:r w:rsidRPr="006B7C5D">
        <w:rPr>
          <w:b w:val="0"/>
          <w:bCs/>
          <w:sz w:val="24"/>
          <w:szCs w:val="20"/>
        </w:rPr>
        <w:t xml:space="preserve"> el cumplimiento de su misión. En dichas actividades se llevó a cabo un análisis de Fortalezas,Oportunidades, Debilidades y Amenazas (FODA), lo que arrojó como resultado una fotografía descriptiva de la situación de la institución</w:t>
      </w:r>
      <w:r w:rsidR="00457B8E">
        <w:rPr>
          <w:b w:val="0"/>
          <w:bCs/>
          <w:sz w:val="24"/>
          <w:szCs w:val="20"/>
        </w:rPr>
        <w:t xml:space="preserve">, vinculada a </w:t>
      </w:r>
      <w:r w:rsidRPr="006B7C5D">
        <w:rPr>
          <w:b w:val="0"/>
          <w:bCs/>
          <w:sz w:val="24"/>
          <w:szCs w:val="20"/>
        </w:rPr>
        <w:t>su contexto.</w:t>
      </w:r>
    </w:p>
    <w:p w:rsidR="005163C0" w:rsidRDefault="005163C0" w:rsidP="006B7C5D">
      <w:pPr>
        <w:spacing w:after="0" w:line="360" w:lineRule="auto"/>
        <w:rPr>
          <w:b w:val="0"/>
          <w:bCs/>
          <w:sz w:val="24"/>
          <w:szCs w:val="20"/>
        </w:rPr>
      </w:pPr>
    </w:p>
    <w:p w:rsidR="006B7C5D" w:rsidRPr="006B7C5D" w:rsidRDefault="006B7C5D" w:rsidP="006B7C5D">
      <w:pPr>
        <w:spacing w:after="0" w:line="360" w:lineRule="auto"/>
        <w:rPr>
          <w:b w:val="0"/>
          <w:bCs/>
          <w:sz w:val="24"/>
          <w:szCs w:val="20"/>
        </w:rPr>
      </w:pPr>
      <w:r w:rsidRPr="006B7C5D">
        <w:rPr>
          <w:b w:val="0"/>
          <w:bCs/>
          <w:sz w:val="24"/>
          <w:szCs w:val="20"/>
        </w:rPr>
        <w:t xml:space="preserve">A partir de </w:t>
      </w:r>
      <w:r w:rsidR="00030834">
        <w:rPr>
          <w:b w:val="0"/>
          <w:bCs/>
          <w:sz w:val="24"/>
          <w:szCs w:val="20"/>
        </w:rPr>
        <w:t>dicho</w:t>
      </w:r>
      <w:r w:rsidRPr="006B7C5D">
        <w:rPr>
          <w:b w:val="0"/>
          <w:bCs/>
          <w:sz w:val="24"/>
          <w:szCs w:val="20"/>
        </w:rPr>
        <w:t xml:space="preserve"> análisis se identificaron las situaciones y problemáticas más relevantes que deberán ser </w:t>
      </w:r>
      <w:r w:rsidR="00030834">
        <w:rPr>
          <w:b w:val="0"/>
          <w:bCs/>
          <w:sz w:val="24"/>
          <w:szCs w:val="20"/>
        </w:rPr>
        <w:t>abordadas</w:t>
      </w:r>
      <w:r w:rsidRPr="006B7C5D">
        <w:rPr>
          <w:b w:val="0"/>
          <w:bCs/>
          <w:sz w:val="24"/>
          <w:szCs w:val="20"/>
        </w:rPr>
        <w:t xml:space="preserve"> por este PEI. Consecuentemente, mediante la realización de este proceso se </w:t>
      </w:r>
      <w:r w:rsidR="00030834">
        <w:rPr>
          <w:b w:val="0"/>
          <w:bCs/>
          <w:sz w:val="24"/>
          <w:szCs w:val="20"/>
        </w:rPr>
        <w:t>identificaron</w:t>
      </w:r>
      <w:r w:rsidRPr="006B7C5D">
        <w:rPr>
          <w:b w:val="0"/>
          <w:bCs/>
          <w:sz w:val="24"/>
          <w:szCs w:val="20"/>
        </w:rPr>
        <w:t xml:space="preserve"> las fortalezas, oportunidades, debilidades y amenazas encontradas, </w:t>
      </w:r>
      <w:r w:rsidR="00030834">
        <w:rPr>
          <w:b w:val="0"/>
          <w:bCs/>
          <w:sz w:val="24"/>
          <w:szCs w:val="20"/>
        </w:rPr>
        <w:t>que sirvieron de base a la definición de la lógica estratégica</w:t>
      </w:r>
      <w:r w:rsidRPr="006B7C5D">
        <w:rPr>
          <w:b w:val="0"/>
          <w:bCs/>
          <w:sz w:val="24"/>
          <w:szCs w:val="20"/>
        </w:rPr>
        <w:t>.</w:t>
      </w:r>
    </w:p>
    <w:p w:rsidR="006B7C5D" w:rsidRPr="006B7C5D" w:rsidRDefault="006B7C5D" w:rsidP="006B7C5D">
      <w:pPr>
        <w:spacing w:after="0" w:line="360" w:lineRule="auto"/>
        <w:rPr>
          <w:b w:val="0"/>
          <w:bCs/>
          <w:sz w:val="24"/>
          <w:szCs w:val="20"/>
        </w:rPr>
      </w:pPr>
    </w:p>
    <w:p w:rsidR="006B7C5D" w:rsidRDefault="006B7C5D" w:rsidP="006B7C5D">
      <w:pPr>
        <w:spacing w:after="0" w:line="360" w:lineRule="auto"/>
        <w:rPr>
          <w:b w:val="0"/>
          <w:bCs/>
          <w:sz w:val="24"/>
          <w:szCs w:val="20"/>
        </w:rPr>
      </w:pPr>
      <w:r w:rsidRPr="006B7C5D">
        <w:rPr>
          <w:b w:val="0"/>
          <w:bCs/>
          <w:sz w:val="24"/>
          <w:szCs w:val="20"/>
        </w:rPr>
        <w:t xml:space="preserve">Tomando como base el análisis FODA, </w:t>
      </w:r>
      <w:r w:rsidR="00030834">
        <w:rPr>
          <w:b w:val="0"/>
          <w:bCs/>
          <w:sz w:val="24"/>
          <w:szCs w:val="20"/>
        </w:rPr>
        <w:t>se dio</w:t>
      </w:r>
      <w:r w:rsidRPr="006B7C5D">
        <w:rPr>
          <w:b w:val="0"/>
          <w:bCs/>
          <w:sz w:val="24"/>
          <w:szCs w:val="20"/>
        </w:rPr>
        <w:t xml:space="preserve"> paso a la formulación </w:t>
      </w:r>
      <w:r w:rsidR="00030834">
        <w:rPr>
          <w:b w:val="0"/>
          <w:bCs/>
          <w:sz w:val="24"/>
          <w:szCs w:val="20"/>
        </w:rPr>
        <w:t xml:space="preserve">la lógica estratégica compuesta por </w:t>
      </w:r>
      <w:r w:rsidRPr="006B7C5D">
        <w:rPr>
          <w:b w:val="0"/>
          <w:bCs/>
          <w:sz w:val="24"/>
          <w:szCs w:val="20"/>
        </w:rPr>
        <w:t xml:space="preserve">los </w:t>
      </w:r>
      <w:r w:rsidR="00030834">
        <w:rPr>
          <w:b w:val="0"/>
          <w:bCs/>
          <w:sz w:val="24"/>
          <w:szCs w:val="20"/>
        </w:rPr>
        <w:t>e</w:t>
      </w:r>
      <w:r w:rsidRPr="006B7C5D">
        <w:rPr>
          <w:b w:val="0"/>
          <w:bCs/>
          <w:sz w:val="24"/>
          <w:szCs w:val="20"/>
        </w:rPr>
        <w:t xml:space="preserve">jes </w:t>
      </w:r>
      <w:r w:rsidR="00030834">
        <w:rPr>
          <w:b w:val="0"/>
          <w:bCs/>
          <w:sz w:val="24"/>
          <w:szCs w:val="20"/>
        </w:rPr>
        <w:t>e</w:t>
      </w:r>
      <w:r w:rsidRPr="006B7C5D">
        <w:rPr>
          <w:b w:val="0"/>
          <w:bCs/>
          <w:sz w:val="24"/>
          <w:szCs w:val="20"/>
        </w:rPr>
        <w:t>stratégicos</w:t>
      </w:r>
      <w:r w:rsidR="00030834">
        <w:rPr>
          <w:b w:val="0"/>
          <w:bCs/>
          <w:sz w:val="24"/>
          <w:szCs w:val="20"/>
        </w:rPr>
        <w:t>, o</w:t>
      </w:r>
      <w:r w:rsidRPr="006B7C5D">
        <w:rPr>
          <w:b w:val="0"/>
          <w:bCs/>
          <w:sz w:val="24"/>
          <w:szCs w:val="20"/>
        </w:rPr>
        <w:t xml:space="preserve">bjetivos </w:t>
      </w:r>
      <w:r w:rsidR="00030834">
        <w:rPr>
          <w:b w:val="0"/>
          <w:bCs/>
          <w:sz w:val="24"/>
          <w:szCs w:val="20"/>
        </w:rPr>
        <w:t>estratégicos, resultados esperados, productos e indicadores</w:t>
      </w:r>
      <w:r w:rsidRPr="006B7C5D">
        <w:rPr>
          <w:b w:val="0"/>
          <w:bCs/>
          <w:sz w:val="24"/>
          <w:szCs w:val="20"/>
        </w:rPr>
        <w:t xml:space="preserve"> pertinentes consignados en el PEI 2021-2024.</w:t>
      </w:r>
    </w:p>
    <w:p w:rsidR="005163C0" w:rsidRDefault="005163C0" w:rsidP="006B7C5D">
      <w:pPr>
        <w:spacing w:after="0" w:line="360" w:lineRule="auto"/>
        <w:rPr>
          <w:b w:val="0"/>
          <w:bCs/>
          <w:sz w:val="24"/>
          <w:szCs w:val="20"/>
        </w:rPr>
      </w:pPr>
    </w:p>
    <w:p w:rsidR="005163C0" w:rsidRDefault="005163C0" w:rsidP="00E47275">
      <w:pPr>
        <w:pStyle w:val="Ttulo1"/>
        <w:numPr>
          <w:ilvl w:val="1"/>
          <w:numId w:val="20"/>
        </w:numPr>
      </w:pPr>
      <w:bookmarkStart w:id="16" w:name="_Toc80090947"/>
      <w:bookmarkStart w:id="17" w:name="_Toc80177692"/>
      <w:r w:rsidRPr="004C7FF9">
        <w:t xml:space="preserve">Fase II: </w:t>
      </w:r>
      <w:r>
        <w:t>Formulación del PEI</w:t>
      </w:r>
      <w:bookmarkEnd w:id="16"/>
      <w:bookmarkEnd w:id="17"/>
    </w:p>
    <w:p w:rsidR="005163C0" w:rsidRDefault="005163C0" w:rsidP="005163C0">
      <w:pPr>
        <w:spacing w:after="0" w:line="360" w:lineRule="auto"/>
        <w:rPr>
          <w:b w:val="0"/>
          <w:bCs/>
          <w:sz w:val="24"/>
          <w:szCs w:val="20"/>
        </w:rPr>
      </w:pPr>
    </w:p>
    <w:p w:rsidR="005163C0" w:rsidRDefault="005163C0" w:rsidP="005163C0">
      <w:pPr>
        <w:spacing w:after="0" w:line="360" w:lineRule="auto"/>
        <w:rPr>
          <w:b w:val="0"/>
          <w:bCs/>
          <w:sz w:val="24"/>
          <w:szCs w:val="20"/>
        </w:rPr>
      </w:pPr>
      <w:r>
        <w:rPr>
          <w:b w:val="0"/>
          <w:bCs/>
          <w:sz w:val="24"/>
          <w:szCs w:val="20"/>
        </w:rPr>
        <w:t xml:space="preserve">El proceso de formulación se llevó a cabo por medio de la consolidación y análisis de las informaciones recogidas en la fase de diagnosis. En ese sentido, se construyeron los lineamientos estraticos, objetivos, resultados y productos sobre la base de los resultados del diagnóstico. Posteriormente, se realizó un taller de socialización y validación del contenido del PEI 2024 con el Equipo Directivo del INAZUCAR, en cuya actividad se recogieron sus observaciones, las cuales fueron incorporadas al documento final. </w:t>
      </w:r>
    </w:p>
    <w:p w:rsidR="005163C0" w:rsidRDefault="005163C0" w:rsidP="005163C0">
      <w:pPr>
        <w:spacing w:after="0" w:line="360" w:lineRule="auto"/>
        <w:rPr>
          <w:b w:val="0"/>
          <w:bCs/>
          <w:sz w:val="24"/>
          <w:szCs w:val="20"/>
        </w:rPr>
      </w:pPr>
    </w:p>
    <w:p w:rsidR="00AF3E13" w:rsidRDefault="005163C0" w:rsidP="006B7C5D">
      <w:pPr>
        <w:spacing w:after="0" w:line="360" w:lineRule="auto"/>
        <w:rPr>
          <w:b w:val="0"/>
          <w:bCs/>
          <w:sz w:val="24"/>
          <w:szCs w:val="20"/>
        </w:rPr>
      </w:pPr>
      <w:r>
        <w:rPr>
          <w:b w:val="0"/>
          <w:bCs/>
          <w:sz w:val="24"/>
          <w:szCs w:val="20"/>
        </w:rPr>
        <w:t>Asimismo, se llevó a cabo un proceso de revisión de los aspectos esenciales del Plan con el Ministerio de Economía, Planificación y Desarrollo</w:t>
      </w:r>
      <w:r w:rsidR="00EB59A4">
        <w:rPr>
          <w:b w:val="0"/>
          <w:bCs/>
          <w:sz w:val="24"/>
          <w:szCs w:val="20"/>
        </w:rPr>
        <w:t xml:space="preserve"> (MEPyD). Los componentes revisados con el ente rector de la planificación fueron la alineación del PEI 2024 con el marco global y nacional de la planificación (ODS 2030, END 2030 y PNPSP 2024)</w:t>
      </w:r>
      <w:r w:rsidR="005F646A">
        <w:rPr>
          <w:b w:val="0"/>
          <w:bCs/>
          <w:sz w:val="24"/>
          <w:szCs w:val="20"/>
        </w:rPr>
        <w:t xml:space="preserve"> y la lógica estratégica, compuesta por los objetivos estratégicos, los resultados esperados, los productos entregables y los indicadores objetivamente verificables. Una vez se recogieron las observaciones, fueron incorporadas a la versión final del documento.</w:t>
      </w:r>
    </w:p>
    <w:p w:rsidR="00AF3E13" w:rsidRDefault="00AF3E13" w:rsidP="006B7C5D">
      <w:pPr>
        <w:spacing w:after="0" w:line="360" w:lineRule="auto"/>
        <w:rPr>
          <w:b w:val="0"/>
          <w:bCs/>
          <w:sz w:val="24"/>
          <w:szCs w:val="20"/>
        </w:rPr>
      </w:pPr>
    </w:p>
    <w:p w:rsidR="004D76DE" w:rsidRDefault="004D76DE" w:rsidP="006B7C5D">
      <w:pPr>
        <w:spacing w:after="0" w:line="360" w:lineRule="auto"/>
        <w:rPr>
          <w:b w:val="0"/>
          <w:bCs/>
          <w:sz w:val="24"/>
          <w:szCs w:val="20"/>
        </w:rPr>
      </w:pPr>
    </w:p>
    <w:p w:rsidR="004D76DE" w:rsidRDefault="004D76DE" w:rsidP="006B7C5D">
      <w:pPr>
        <w:spacing w:after="0" w:line="360" w:lineRule="auto"/>
        <w:rPr>
          <w:b w:val="0"/>
          <w:bCs/>
          <w:sz w:val="24"/>
          <w:szCs w:val="20"/>
        </w:rPr>
      </w:pPr>
    </w:p>
    <w:p w:rsidR="004D76DE" w:rsidRPr="006B7C5D" w:rsidRDefault="004D76DE" w:rsidP="006B7C5D">
      <w:pPr>
        <w:spacing w:after="0" w:line="360" w:lineRule="auto"/>
        <w:rPr>
          <w:b w:val="0"/>
          <w:bCs/>
          <w:sz w:val="24"/>
          <w:szCs w:val="20"/>
        </w:rPr>
      </w:pPr>
    </w:p>
    <w:p w:rsidR="00AF3E13" w:rsidRPr="00AF3E13" w:rsidRDefault="00581C5B" w:rsidP="00E47275">
      <w:pPr>
        <w:pStyle w:val="Ttulo1"/>
      </w:pPr>
      <w:bookmarkStart w:id="18" w:name="_Toc80090948"/>
      <w:bookmarkStart w:id="19" w:name="_Toc80177693"/>
      <w:r>
        <w:t>ALINEACIÓN</w:t>
      </w:r>
      <w:r w:rsidR="007B0D80">
        <w:t xml:space="preserve"> CON EL MARCO GLOBAL Y EL MARCO NACIONAL DE LA PLANIFICACIÓN</w:t>
      </w:r>
      <w:bookmarkEnd w:id="18"/>
      <w:bookmarkEnd w:id="19"/>
    </w:p>
    <w:p w:rsidR="00AF3E13" w:rsidRPr="00AF3E13" w:rsidRDefault="00AF3E13" w:rsidP="00AF3E13">
      <w:pPr>
        <w:spacing w:after="0"/>
        <w:rPr>
          <w:b w:val="0"/>
          <w:bCs/>
          <w:sz w:val="24"/>
          <w:szCs w:val="20"/>
        </w:rPr>
      </w:pPr>
    </w:p>
    <w:p w:rsidR="007B0D80" w:rsidRDefault="007B0D80" w:rsidP="00E47275">
      <w:pPr>
        <w:pStyle w:val="Ttulo1"/>
        <w:numPr>
          <w:ilvl w:val="1"/>
          <w:numId w:val="23"/>
        </w:numPr>
      </w:pPr>
      <w:bookmarkStart w:id="20" w:name="_Toc80090949"/>
      <w:bookmarkStart w:id="21" w:name="_Toc80177694"/>
      <w:r>
        <w:t>Vinculación con los Objetivos de Desarrollo Sostenible 2030 (ODS 2030)</w:t>
      </w:r>
      <w:bookmarkEnd w:id="20"/>
      <w:bookmarkEnd w:id="21"/>
    </w:p>
    <w:p w:rsidR="00665613" w:rsidRDefault="00665613" w:rsidP="00486F87">
      <w:pPr>
        <w:spacing w:after="0" w:line="360" w:lineRule="auto"/>
        <w:rPr>
          <w:b w:val="0"/>
          <w:bCs/>
          <w:sz w:val="24"/>
          <w:szCs w:val="20"/>
        </w:rPr>
      </w:pPr>
    </w:p>
    <w:p w:rsidR="00AF3E13" w:rsidRDefault="00665613" w:rsidP="00486F87">
      <w:pPr>
        <w:spacing w:after="0" w:line="360" w:lineRule="auto"/>
        <w:rPr>
          <w:b w:val="0"/>
          <w:bCs/>
          <w:sz w:val="24"/>
          <w:szCs w:val="20"/>
        </w:rPr>
      </w:pPr>
      <w:r>
        <w:rPr>
          <w:b w:val="0"/>
          <w:bCs/>
          <w:sz w:val="24"/>
          <w:szCs w:val="20"/>
        </w:rPr>
        <w:t xml:space="preserve">Los Objetivos de Desarrollo Sostenibles 2015-2030 (ODS 2030) constituyen el pacto global para la </w:t>
      </w:r>
      <w:r w:rsidRPr="00665613">
        <w:rPr>
          <w:b w:val="0"/>
          <w:bCs/>
          <w:sz w:val="24"/>
          <w:szCs w:val="20"/>
        </w:rPr>
        <w:t>erradicar la pobreza, proteger el planeta y asegurar la prosperidad</w:t>
      </w:r>
      <w:r>
        <w:rPr>
          <w:b w:val="0"/>
          <w:bCs/>
          <w:sz w:val="24"/>
          <w:szCs w:val="20"/>
        </w:rPr>
        <w:t xml:space="preserve"> para todas las personas en condiciones de igualdad. El 25 de septiembre de 2015, los </w:t>
      </w:r>
      <w:r w:rsidR="003E7B3E">
        <w:rPr>
          <w:b w:val="0"/>
          <w:bCs/>
          <w:sz w:val="24"/>
          <w:szCs w:val="20"/>
        </w:rPr>
        <w:t>líderes</w:t>
      </w:r>
      <w:r>
        <w:rPr>
          <w:b w:val="0"/>
          <w:bCs/>
          <w:sz w:val="24"/>
          <w:szCs w:val="20"/>
        </w:rPr>
        <w:t xml:space="preserve"> mundiales decidieron adoptar los ODS, incluyendo a la República Dominicana.</w:t>
      </w:r>
      <w:r w:rsidR="00DB4AC1">
        <w:rPr>
          <w:b w:val="0"/>
          <w:bCs/>
          <w:sz w:val="24"/>
          <w:szCs w:val="20"/>
        </w:rPr>
        <w:t xml:space="preserve"> en total los ODS son 17 y cada uno contiene un conjunto de </w:t>
      </w:r>
      <w:r w:rsidR="00DB4AC1" w:rsidRPr="00DB4AC1">
        <w:rPr>
          <w:b w:val="0"/>
          <w:bCs/>
          <w:sz w:val="24"/>
          <w:szCs w:val="20"/>
        </w:rPr>
        <w:t xml:space="preserve">metas específicas que deben </w:t>
      </w:r>
      <w:r w:rsidR="00DB4AC1">
        <w:rPr>
          <w:b w:val="0"/>
          <w:bCs/>
          <w:sz w:val="24"/>
          <w:szCs w:val="20"/>
        </w:rPr>
        <w:t xml:space="preserve">ser </w:t>
      </w:r>
      <w:r w:rsidR="00DB4AC1" w:rsidRPr="00DB4AC1">
        <w:rPr>
          <w:b w:val="0"/>
          <w:bCs/>
          <w:sz w:val="24"/>
          <w:szCs w:val="20"/>
        </w:rPr>
        <w:t>alcanza</w:t>
      </w:r>
      <w:r w:rsidR="00DB4AC1">
        <w:rPr>
          <w:b w:val="0"/>
          <w:bCs/>
          <w:sz w:val="24"/>
          <w:szCs w:val="20"/>
        </w:rPr>
        <w:t>dasal finalizar el indicado periodo</w:t>
      </w:r>
      <w:r w:rsidR="00DB4AC1" w:rsidRPr="00DB4AC1">
        <w:rPr>
          <w:b w:val="0"/>
          <w:bCs/>
          <w:sz w:val="24"/>
          <w:szCs w:val="20"/>
        </w:rPr>
        <w:t>.</w:t>
      </w:r>
    </w:p>
    <w:p w:rsidR="00DB4AC1" w:rsidRDefault="00DB4AC1" w:rsidP="00486F87">
      <w:pPr>
        <w:spacing w:after="0" w:line="360" w:lineRule="auto"/>
        <w:rPr>
          <w:b w:val="0"/>
          <w:bCs/>
          <w:sz w:val="24"/>
          <w:szCs w:val="20"/>
        </w:rPr>
      </w:pPr>
    </w:p>
    <w:p w:rsidR="00DB4AC1" w:rsidRDefault="00DB4AC1" w:rsidP="00486F87">
      <w:pPr>
        <w:spacing w:after="0" w:line="360" w:lineRule="auto"/>
        <w:rPr>
          <w:b w:val="0"/>
          <w:bCs/>
          <w:sz w:val="24"/>
          <w:szCs w:val="20"/>
        </w:rPr>
      </w:pPr>
      <w:bookmarkStart w:id="22" w:name="_Hlk79576244"/>
      <w:r>
        <w:rPr>
          <w:b w:val="0"/>
          <w:bCs/>
          <w:sz w:val="24"/>
          <w:szCs w:val="20"/>
        </w:rPr>
        <w:t>De ahí, que los países signatarios deben consignar en sus planificaciones nacionales compromisos estratégicos, programáticos y presupuestarios que aporten a la consecución de las aspiraciones globales. Dicho de otra forma, las aspiraciones propias de la República Dominicana deben guardar vinculación concreta con el propósito de los ODS, lo que se aplica en cascada a los diferentes sectores de la administración pública y sus instituciones. En ese orden, a continuación, se presenta una matriz de relación entre los ODS y el PEI 2024 del INAZUCAR.</w:t>
      </w:r>
    </w:p>
    <w:bookmarkEnd w:id="22"/>
    <w:p w:rsidR="00665613" w:rsidRDefault="00665613" w:rsidP="00486F87">
      <w:pPr>
        <w:spacing w:after="0" w:line="360" w:lineRule="auto"/>
        <w:rPr>
          <w:b w:val="0"/>
          <w:bCs/>
          <w:sz w:val="24"/>
          <w:szCs w:val="20"/>
        </w:rPr>
      </w:pPr>
    </w:p>
    <w:tbl>
      <w:tblPr>
        <w:tblStyle w:val="Tablaconcuadrcula"/>
        <w:tblW w:w="0" w:type="auto"/>
        <w:jc w:val="center"/>
        <w:tblLook w:val="0000"/>
      </w:tblPr>
      <w:tblGrid>
        <w:gridCol w:w="1696"/>
        <w:gridCol w:w="2977"/>
        <w:gridCol w:w="2464"/>
        <w:gridCol w:w="2213"/>
      </w:tblGrid>
      <w:tr w:rsidR="00DB4AC1" w:rsidTr="00D14905">
        <w:trPr>
          <w:trHeight w:val="315"/>
          <w:jc w:val="center"/>
        </w:trPr>
        <w:tc>
          <w:tcPr>
            <w:tcW w:w="9350" w:type="dxa"/>
            <w:gridSpan w:val="4"/>
          </w:tcPr>
          <w:p w:rsidR="00DB4AC1" w:rsidRDefault="00DB4AC1" w:rsidP="00DB4AC1">
            <w:pPr>
              <w:jc w:val="center"/>
              <w:rPr>
                <w:sz w:val="24"/>
                <w:szCs w:val="20"/>
              </w:rPr>
            </w:pPr>
            <w:r>
              <w:rPr>
                <w:sz w:val="24"/>
                <w:szCs w:val="20"/>
              </w:rPr>
              <w:t>Tabla No. 1: Vinculación entre el PEI 2024 y los ODS 2030</w:t>
            </w:r>
          </w:p>
        </w:tc>
      </w:tr>
      <w:tr w:rsidR="00E93847" w:rsidRPr="00AF3E13" w:rsidTr="00A90B32">
        <w:tblPrEx>
          <w:tblLook w:val="04A0"/>
        </w:tblPrEx>
        <w:trPr>
          <w:jc w:val="center"/>
        </w:trPr>
        <w:tc>
          <w:tcPr>
            <w:tcW w:w="4673" w:type="dxa"/>
            <w:gridSpan w:val="2"/>
          </w:tcPr>
          <w:p w:rsidR="00E93847" w:rsidRPr="00AF3E13" w:rsidRDefault="00E93847" w:rsidP="00DB4AC1">
            <w:pPr>
              <w:jc w:val="center"/>
              <w:rPr>
                <w:sz w:val="24"/>
                <w:szCs w:val="20"/>
              </w:rPr>
            </w:pPr>
            <w:r w:rsidRPr="00AF3E13">
              <w:rPr>
                <w:sz w:val="24"/>
                <w:szCs w:val="20"/>
              </w:rPr>
              <w:t>ODS 2030</w:t>
            </w:r>
          </w:p>
        </w:tc>
        <w:tc>
          <w:tcPr>
            <w:tcW w:w="4677" w:type="dxa"/>
            <w:gridSpan w:val="2"/>
          </w:tcPr>
          <w:p w:rsidR="00E93847" w:rsidRPr="00AF3E13" w:rsidRDefault="00E93847" w:rsidP="00DB4AC1">
            <w:pPr>
              <w:jc w:val="center"/>
              <w:rPr>
                <w:sz w:val="24"/>
                <w:szCs w:val="20"/>
              </w:rPr>
            </w:pPr>
            <w:r w:rsidRPr="00AF3E13">
              <w:rPr>
                <w:sz w:val="24"/>
                <w:szCs w:val="20"/>
              </w:rPr>
              <w:t>PEI 2024</w:t>
            </w:r>
          </w:p>
        </w:tc>
      </w:tr>
      <w:tr w:rsidR="00D14905" w:rsidRPr="00665613" w:rsidTr="00D14905">
        <w:tblPrEx>
          <w:tblLook w:val="04A0"/>
        </w:tblPrEx>
        <w:trPr>
          <w:jc w:val="center"/>
        </w:trPr>
        <w:tc>
          <w:tcPr>
            <w:tcW w:w="1696" w:type="dxa"/>
          </w:tcPr>
          <w:p w:rsidR="00D14905" w:rsidRPr="00665613" w:rsidRDefault="00D14905" w:rsidP="00DB4AC1">
            <w:pPr>
              <w:jc w:val="center"/>
              <w:rPr>
                <w:sz w:val="24"/>
                <w:szCs w:val="20"/>
              </w:rPr>
            </w:pPr>
            <w:r w:rsidRPr="00665613">
              <w:rPr>
                <w:sz w:val="24"/>
                <w:szCs w:val="20"/>
              </w:rPr>
              <w:t>Objetivo</w:t>
            </w:r>
          </w:p>
        </w:tc>
        <w:tc>
          <w:tcPr>
            <w:tcW w:w="2977" w:type="dxa"/>
          </w:tcPr>
          <w:p w:rsidR="00D14905" w:rsidRPr="00665613" w:rsidRDefault="00D14905" w:rsidP="00DB4AC1">
            <w:pPr>
              <w:jc w:val="center"/>
              <w:rPr>
                <w:sz w:val="24"/>
                <w:szCs w:val="20"/>
              </w:rPr>
            </w:pPr>
            <w:r w:rsidRPr="00665613">
              <w:rPr>
                <w:sz w:val="24"/>
                <w:szCs w:val="20"/>
              </w:rPr>
              <w:t>Meta</w:t>
            </w:r>
          </w:p>
        </w:tc>
        <w:tc>
          <w:tcPr>
            <w:tcW w:w="2464" w:type="dxa"/>
          </w:tcPr>
          <w:p w:rsidR="00D14905" w:rsidRPr="00665613" w:rsidRDefault="00D14905" w:rsidP="00DB4AC1">
            <w:pPr>
              <w:jc w:val="center"/>
              <w:rPr>
                <w:sz w:val="24"/>
                <w:szCs w:val="20"/>
              </w:rPr>
            </w:pPr>
            <w:r>
              <w:rPr>
                <w:sz w:val="24"/>
                <w:szCs w:val="20"/>
              </w:rPr>
              <w:t>Objetivo Estratégico</w:t>
            </w:r>
          </w:p>
        </w:tc>
        <w:tc>
          <w:tcPr>
            <w:tcW w:w="2213" w:type="dxa"/>
          </w:tcPr>
          <w:p w:rsidR="00D14905" w:rsidRPr="00665613" w:rsidRDefault="00D14905" w:rsidP="00DB4AC1">
            <w:pPr>
              <w:jc w:val="center"/>
              <w:rPr>
                <w:sz w:val="24"/>
                <w:szCs w:val="20"/>
              </w:rPr>
            </w:pPr>
            <w:r>
              <w:rPr>
                <w:sz w:val="24"/>
                <w:szCs w:val="20"/>
              </w:rPr>
              <w:t>Resultado Esperado</w:t>
            </w:r>
          </w:p>
        </w:tc>
      </w:tr>
      <w:tr w:rsidR="00E93847" w:rsidRPr="00665613" w:rsidTr="00D14905">
        <w:tblPrEx>
          <w:tblLook w:val="04A0"/>
        </w:tblPrEx>
        <w:trPr>
          <w:jc w:val="center"/>
        </w:trPr>
        <w:tc>
          <w:tcPr>
            <w:tcW w:w="1696" w:type="dxa"/>
          </w:tcPr>
          <w:p w:rsidR="00486F87" w:rsidRDefault="00486F87" w:rsidP="00D14905">
            <w:pPr>
              <w:rPr>
                <w:b w:val="0"/>
                <w:bCs/>
                <w:sz w:val="24"/>
                <w:szCs w:val="20"/>
              </w:rPr>
            </w:pPr>
          </w:p>
          <w:p w:rsidR="00486F87" w:rsidRDefault="00486F87" w:rsidP="00D14905">
            <w:pPr>
              <w:rPr>
                <w:b w:val="0"/>
                <w:bCs/>
                <w:sz w:val="24"/>
                <w:szCs w:val="20"/>
              </w:rPr>
            </w:pPr>
          </w:p>
          <w:p w:rsidR="00E93847" w:rsidRPr="00D14905" w:rsidRDefault="00E93847" w:rsidP="00D14905">
            <w:pPr>
              <w:rPr>
                <w:b w:val="0"/>
                <w:bCs/>
                <w:sz w:val="24"/>
                <w:szCs w:val="20"/>
              </w:rPr>
            </w:pPr>
            <w:r w:rsidRPr="00D14905">
              <w:rPr>
                <w:b w:val="0"/>
                <w:bCs/>
                <w:sz w:val="24"/>
                <w:szCs w:val="20"/>
              </w:rPr>
              <w:t>ODS 12: Producción y consumo responsable.</w:t>
            </w:r>
          </w:p>
        </w:tc>
        <w:tc>
          <w:tcPr>
            <w:tcW w:w="2977" w:type="dxa"/>
          </w:tcPr>
          <w:p w:rsidR="00E93847" w:rsidRPr="00665613" w:rsidRDefault="00E93847" w:rsidP="000F2422">
            <w:pPr>
              <w:rPr>
                <w:sz w:val="24"/>
                <w:szCs w:val="20"/>
              </w:rPr>
            </w:pPr>
            <w:r w:rsidRPr="000F2422">
              <w:rPr>
                <w:b w:val="0"/>
                <w:bCs/>
                <w:sz w:val="24"/>
                <w:szCs w:val="20"/>
              </w:rPr>
              <w:t xml:space="preserve">12.3 De aquí a 2030, reducir a la mitad el desperdicio de alimentos per cápita mundial en la venta al por menor y a nivel de los consumidores y reducir las pérdidas de alimentos en las cadenas de </w:t>
            </w:r>
            <w:r w:rsidRPr="000F2422">
              <w:rPr>
                <w:b w:val="0"/>
                <w:bCs/>
                <w:sz w:val="24"/>
                <w:szCs w:val="20"/>
              </w:rPr>
              <w:lastRenderedPageBreak/>
              <w:t>producción y suministro, incluidas las pérdidas posteriores a la cosecha.</w:t>
            </w:r>
          </w:p>
        </w:tc>
        <w:tc>
          <w:tcPr>
            <w:tcW w:w="2464" w:type="dxa"/>
            <w:vMerge w:val="restart"/>
          </w:tcPr>
          <w:p w:rsidR="00486F87" w:rsidRDefault="00486F87" w:rsidP="00D14905">
            <w:pPr>
              <w:rPr>
                <w:b w:val="0"/>
                <w:bCs/>
                <w:sz w:val="24"/>
                <w:szCs w:val="20"/>
              </w:rPr>
            </w:pPr>
          </w:p>
          <w:p w:rsidR="00486F87" w:rsidRDefault="00486F87" w:rsidP="00D14905">
            <w:pPr>
              <w:rPr>
                <w:b w:val="0"/>
                <w:bCs/>
                <w:sz w:val="24"/>
                <w:szCs w:val="20"/>
              </w:rPr>
            </w:pPr>
          </w:p>
          <w:p w:rsidR="00486F87" w:rsidRDefault="00486F87" w:rsidP="00D14905">
            <w:pPr>
              <w:rPr>
                <w:b w:val="0"/>
                <w:bCs/>
                <w:sz w:val="24"/>
                <w:szCs w:val="20"/>
              </w:rPr>
            </w:pPr>
          </w:p>
          <w:p w:rsidR="00486F87" w:rsidRDefault="00486F87" w:rsidP="00D14905">
            <w:pPr>
              <w:rPr>
                <w:b w:val="0"/>
                <w:bCs/>
                <w:sz w:val="24"/>
                <w:szCs w:val="20"/>
              </w:rPr>
            </w:pPr>
          </w:p>
          <w:p w:rsidR="00486F87" w:rsidRDefault="00486F87" w:rsidP="00D14905">
            <w:pPr>
              <w:rPr>
                <w:b w:val="0"/>
                <w:bCs/>
                <w:sz w:val="24"/>
                <w:szCs w:val="20"/>
              </w:rPr>
            </w:pPr>
          </w:p>
          <w:p w:rsidR="00486F87" w:rsidRDefault="00486F87" w:rsidP="00D14905">
            <w:pPr>
              <w:rPr>
                <w:b w:val="0"/>
                <w:bCs/>
                <w:sz w:val="24"/>
                <w:szCs w:val="20"/>
              </w:rPr>
            </w:pPr>
          </w:p>
          <w:p w:rsidR="00486F87" w:rsidRDefault="00486F87" w:rsidP="00D14905">
            <w:pPr>
              <w:rPr>
                <w:b w:val="0"/>
                <w:bCs/>
                <w:sz w:val="24"/>
                <w:szCs w:val="20"/>
              </w:rPr>
            </w:pPr>
          </w:p>
          <w:p w:rsidR="00E93847" w:rsidRDefault="00E93847" w:rsidP="00D14905">
            <w:pPr>
              <w:rPr>
                <w:b w:val="0"/>
                <w:bCs/>
                <w:sz w:val="24"/>
                <w:szCs w:val="20"/>
              </w:rPr>
            </w:pPr>
            <w:r w:rsidRPr="00D14905">
              <w:rPr>
                <w:b w:val="0"/>
                <w:bCs/>
                <w:sz w:val="24"/>
                <w:szCs w:val="20"/>
              </w:rPr>
              <w:t xml:space="preserve">OE1: Fortalecer la </w:t>
            </w:r>
            <w:r w:rsidRPr="00D14905">
              <w:rPr>
                <w:b w:val="0"/>
                <w:bCs/>
                <w:sz w:val="24"/>
                <w:szCs w:val="20"/>
              </w:rPr>
              <w:lastRenderedPageBreak/>
              <w:t>regulación y vigilancia de la política azucarera a nivel nacional.</w:t>
            </w:r>
          </w:p>
          <w:p w:rsidR="00486F87" w:rsidRDefault="00486F87" w:rsidP="00D14905">
            <w:pPr>
              <w:rPr>
                <w:b w:val="0"/>
                <w:bCs/>
                <w:sz w:val="24"/>
                <w:szCs w:val="20"/>
              </w:rPr>
            </w:pPr>
          </w:p>
          <w:p w:rsidR="00486F87" w:rsidRDefault="00486F87" w:rsidP="00D14905">
            <w:pPr>
              <w:rPr>
                <w:b w:val="0"/>
                <w:bCs/>
                <w:sz w:val="24"/>
                <w:szCs w:val="20"/>
              </w:rPr>
            </w:pPr>
          </w:p>
          <w:p w:rsidR="00486F87" w:rsidRDefault="00486F87" w:rsidP="00D14905">
            <w:pPr>
              <w:rPr>
                <w:b w:val="0"/>
                <w:bCs/>
                <w:sz w:val="24"/>
                <w:szCs w:val="20"/>
              </w:rPr>
            </w:pPr>
          </w:p>
          <w:p w:rsidR="00486F87" w:rsidRDefault="00486F87" w:rsidP="00D14905">
            <w:pPr>
              <w:rPr>
                <w:b w:val="0"/>
                <w:bCs/>
                <w:sz w:val="24"/>
                <w:szCs w:val="20"/>
              </w:rPr>
            </w:pPr>
          </w:p>
          <w:p w:rsidR="00486F87" w:rsidRPr="00D14905" w:rsidRDefault="00486F87" w:rsidP="00D14905">
            <w:pPr>
              <w:rPr>
                <w:b w:val="0"/>
                <w:bCs/>
                <w:sz w:val="24"/>
                <w:szCs w:val="20"/>
              </w:rPr>
            </w:pPr>
            <w:r w:rsidRPr="00486F87">
              <w:rPr>
                <w:b w:val="0"/>
                <w:bCs/>
                <w:sz w:val="24"/>
                <w:szCs w:val="20"/>
              </w:rPr>
              <w:t>OE1: Fortalecer la regulación y vigilancia de la política azucarera a nivel nacional.</w:t>
            </w:r>
          </w:p>
        </w:tc>
        <w:tc>
          <w:tcPr>
            <w:tcW w:w="2213" w:type="dxa"/>
            <w:vMerge w:val="restart"/>
          </w:tcPr>
          <w:p w:rsidR="00486F87" w:rsidRDefault="00486F87" w:rsidP="00DB4AC1">
            <w:pPr>
              <w:rPr>
                <w:b w:val="0"/>
                <w:bCs/>
                <w:sz w:val="24"/>
                <w:szCs w:val="20"/>
              </w:rPr>
            </w:pPr>
          </w:p>
          <w:p w:rsidR="00FC4D65" w:rsidRDefault="00FC4D65" w:rsidP="00DB4AC1">
            <w:pPr>
              <w:rPr>
                <w:b w:val="0"/>
                <w:bCs/>
                <w:sz w:val="24"/>
                <w:szCs w:val="20"/>
              </w:rPr>
            </w:pPr>
          </w:p>
          <w:p w:rsidR="00E93847" w:rsidRDefault="00E93847" w:rsidP="00DB4AC1">
            <w:pPr>
              <w:rPr>
                <w:b w:val="0"/>
                <w:bCs/>
                <w:sz w:val="24"/>
                <w:szCs w:val="20"/>
              </w:rPr>
            </w:pPr>
            <w:r w:rsidRPr="00D14905">
              <w:rPr>
                <w:b w:val="0"/>
                <w:bCs/>
                <w:sz w:val="24"/>
                <w:szCs w:val="20"/>
              </w:rPr>
              <w:t>RE1: Mejorada la regulación técnica del sector azucarero dominicano</w:t>
            </w:r>
            <w:r>
              <w:rPr>
                <w:b w:val="0"/>
                <w:bCs/>
                <w:sz w:val="24"/>
                <w:szCs w:val="20"/>
              </w:rPr>
              <w:t>, en lo relativo a</w:t>
            </w:r>
            <w:r w:rsidRPr="006B7EE0">
              <w:rPr>
                <w:b w:val="0"/>
                <w:bCs/>
                <w:sz w:val="24"/>
                <w:szCs w:val="20"/>
              </w:rPr>
              <w:t xml:space="preserve"> la </w:t>
            </w:r>
            <w:r w:rsidRPr="006B7EE0">
              <w:rPr>
                <w:b w:val="0"/>
                <w:bCs/>
                <w:sz w:val="24"/>
                <w:szCs w:val="20"/>
              </w:rPr>
              <w:lastRenderedPageBreak/>
              <w:t>producción, consumo sostenible y exportación del azúcar y los demás derivados de la caña.</w:t>
            </w:r>
          </w:p>
          <w:p w:rsidR="00FC4D65" w:rsidRDefault="00FC4D65" w:rsidP="00DB4AC1">
            <w:pPr>
              <w:rPr>
                <w:sz w:val="24"/>
                <w:szCs w:val="20"/>
              </w:rPr>
            </w:pPr>
          </w:p>
          <w:p w:rsidR="00FC4D65" w:rsidRDefault="00FC4D65" w:rsidP="00DB4AC1">
            <w:pPr>
              <w:rPr>
                <w:sz w:val="24"/>
                <w:szCs w:val="20"/>
              </w:rPr>
            </w:pPr>
          </w:p>
          <w:p w:rsidR="00FC4D65" w:rsidRPr="00665613" w:rsidRDefault="00FC4D65" w:rsidP="00DB4AC1">
            <w:pPr>
              <w:rPr>
                <w:sz w:val="24"/>
                <w:szCs w:val="20"/>
              </w:rPr>
            </w:pPr>
            <w:r w:rsidRPr="00D14905">
              <w:rPr>
                <w:b w:val="0"/>
                <w:bCs/>
                <w:sz w:val="24"/>
                <w:szCs w:val="20"/>
              </w:rPr>
              <w:t>RE1: Mejorada la regulación técnica del sector azucarero dominicano</w:t>
            </w:r>
            <w:r>
              <w:rPr>
                <w:b w:val="0"/>
                <w:bCs/>
                <w:sz w:val="24"/>
                <w:szCs w:val="20"/>
              </w:rPr>
              <w:t>, en lo relativo a</w:t>
            </w:r>
            <w:r w:rsidRPr="006B7EE0">
              <w:rPr>
                <w:b w:val="0"/>
                <w:bCs/>
                <w:sz w:val="24"/>
                <w:szCs w:val="20"/>
              </w:rPr>
              <w:t xml:space="preserve"> la producción, consumo sostenible y exportación del azúcar y los demás derivados de la caña.</w:t>
            </w:r>
          </w:p>
        </w:tc>
      </w:tr>
      <w:tr w:rsidR="00E93847" w:rsidTr="00D14905">
        <w:tblPrEx>
          <w:tblLook w:val="04A0"/>
        </w:tblPrEx>
        <w:trPr>
          <w:jc w:val="center"/>
        </w:trPr>
        <w:tc>
          <w:tcPr>
            <w:tcW w:w="1696" w:type="dxa"/>
            <w:vMerge w:val="restart"/>
          </w:tcPr>
          <w:p w:rsidR="00E93847" w:rsidRDefault="00E93847" w:rsidP="00DB4AC1">
            <w:pPr>
              <w:rPr>
                <w:b w:val="0"/>
                <w:bCs/>
                <w:sz w:val="24"/>
                <w:szCs w:val="20"/>
              </w:rPr>
            </w:pPr>
            <w:r>
              <w:rPr>
                <w:b w:val="0"/>
                <w:bCs/>
                <w:sz w:val="24"/>
                <w:szCs w:val="20"/>
              </w:rPr>
              <w:lastRenderedPageBreak/>
              <w:t>ODS 16: Paz, Justicia e Instituciones Sólidas.</w:t>
            </w:r>
          </w:p>
        </w:tc>
        <w:tc>
          <w:tcPr>
            <w:tcW w:w="2977" w:type="dxa"/>
          </w:tcPr>
          <w:p w:rsidR="00E93847" w:rsidRDefault="00E93847" w:rsidP="00DB4AC1">
            <w:pPr>
              <w:rPr>
                <w:b w:val="0"/>
                <w:bCs/>
                <w:sz w:val="24"/>
                <w:szCs w:val="20"/>
              </w:rPr>
            </w:pPr>
            <w:r w:rsidRPr="00DB4AC1">
              <w:rPr>
                <w:b w:val="0"/>
                <w:bCs/>
                <w:sz w:val="24"/>
                <w:szCs w:val="20"/>
              </w:rPr>
              <w:t xml:space="preserve">16.6 Crear a todos los niveles instituciones eficaces y transparentes que rindan cuentas.                                          </w:t>
            </w:r>
          </w:p>
        </w:tc>
        <w:tc>
          <w:tcPr>
            <w:tcW w:w="2464" w:type="dxa"/>
            <w:vMerge/>
          </w:tcPr>
          <w:p w:rsidR="00E93847" w:rsidRDefault="00E93847" w:rsidP="00DB4AC1">
            <w:pPr>
              <w:rPr>
                <w:b w:val="0"/>
                <w:bCs/>
                <w:sz w:val="24"/>
                <w:szCs w:val="20"/>
              </w:rPr>
            </w:pPr>
          </w:p>
        </w:tc>
        <w:tc>
          <w:tcPr>
            <w:tcW w:w="2213" w:type="dxa"/>
            <w:vMerge/>
          </w:tcPr>
          <w:p w:rsidR="00E93847" w:rsidRDefault="00E93847" w:rsidP="00DB4AC1">
            <w:pPr>
              <w:rPr>
                <w:b w:val="0"/>
                <w:bCs/>
                <w:sz w:val="24"/>
                <w:szCs w:val="20"/>
              </w:rPr>
            </w:pPr>
          </w:p>
        </w:tc>
      </w:tr>
      <w:tr w:rsidR="00E93847" w:rsidTr="00D14905">
        <w:tblPrEx>
          <w:tblLook w:val="04A0"/>
        </w:tblPrEx>
        <w:trPr>
          <w:jc w:val="center"/>
        </w:trPr>
        <w:tc>
          <w:tcPr>
            <w:tcW w:w="1696" w:type="dxa"/>
            <w:vMerge/>
          </w:tcPr>
          <w:p w:rsidR="00E93847" w:rsidRDefault="00E93847" w:rsidP="00DB4AC1">
            <w:pPr>
              <w:rPr>
                <w:b w:val="0"/>
                <w:bCs/>
                <w:sz w:val="24"/>
                <w:szCs w:val="20"/>
              </w:rPr>
            </w:pPr>
          </w:p>
        </w:tc>
        <w:tc>
          <w:tcPr>
            <w:tcW w:w="2977" w:type="dxa"/>
          </w:tcPr>
          <w:p w:rsidR="00E93847" w:rsidRDefault="00E93847" w:rsidP="00DB4AC1">
            <w:pPr>
              <w:rPr>
                <w:b w:val="0"/>
                <w:bCs/>
                <w:sz w:val="24"/>
                <w:szCs w:val="20"/>
              </w:rPr>
            </w:pPr>
            <w:r w:rsidRPr="00DB4AC1">
              <w:rPr>
                <w:b w:val="0"/>
                <w:bCs/>
                <w:sz w:val="24"/>
                <w:szCs w:val="20"/>
              </w:rPr>
              <w:t xml:space="preserve">16.b Promover y aplicar leyes y políticas no discriminatorias en favor del desarrollo sostenible.                   </w:t>
            </w:r>
          </w:p>
        </w:tc>
        <w:tc>
          <w:tcPr>
            <w:tcW w:w="2464" w:type="dxa"/>
            <w:vMerge/>
          </w:tcPr>
          <w:p w:rsidR="00E93847" w:rsidRDefault="00E93847" w:rsidP="00DB4AC1">
            <w:pPr>
              <w:rPr>
                <w:b w:val="0"/>
                <w:bCs/>
                <w:sz w:val="24"/>
                <w:szCs w:val="20"/>
              </w:rPr>
            </w:pPr>
          </w:p>
        </w:tc>
        <w:tc>
          <w:tcPr>
            <w:tcW w:w="2213" w:type="dxa"/>
            <w:vMerge/>
          </w:tcPr>
          <w:p w:rsidR="00E93847" w:rsidRDefault="00E93847" w:rsidP="00DB4AC1">
            <w:pPr>
              <w:rPr>
                <w:b w:val="0"/>
                <w:bCs/>
                <w:sz w:val="24"/>
                <w:szCs w:val="20"/>
              </w:rPr>
            </w:pPr>
          </w:p>
        </w:tc>
      </w:tr>
      <w:tr w:rsidR="00E93847" w:rsidTr="00D14905">
        <w:tblPrEx>
          <w:tblLook w:val="04A0"/>
        </w:tblPrEx>
        <w:trPr>
          <w:jc w:val="center"/>
        </w:trPr>
        <w:tc>
          <w:tcPr>
            <w:tcW w:w="1696" w:type="dxa"/>
            <w:vMerge/>
          </w:tcPr>
          <w:p w:rsidR="00E93847" w:rsidRDefault="00E93847" w:rsidP="00DB4AC1">
            <w:pPr>
              <w:rPr>
                <w:b w:val="0"/>
                <w:bCs/>
                <w:sz w:val="24"/>
                <w:szCs w:val="20"/>
              </w:rPr>
            </w:pPr>
          </w:p>
        </w:tc>
        <w:tc>
          <w:tcPr>
            <w:tcW w:w="2977" w:type="dxa"/>
          </w:tcPr>
          <w:p w:rsidR="00E93847" w:rsidRDefault="00E93847" w:rsidP="00DB4AC1">
            <w:pPr>
              <w:rPr>
                <w:b w:val="0"/>
                <w:bCs/>
                <w:sz w:val="24"/>
                <w:szCs w:val="20"/>
              </w:rPr>
            </w:pPr>
            <w:r w:rsidRPr="00DB4AC1">
              <w:rPr>
                <w:b w:val="0"/>
                <w:bCs/>
                <w:sz w:val="24"/>
                <w:szCs w:val="20"/>
              </w:rPr>
              <w:t>16.7 Garantizar la adopción en todos los niveles de decisiones inclusivas, participativas y representativas que respondan a las necesidades.</w:t>
            </w:r>
          </w:p>
        </w:tc>
        <w:tc>
          <w:tcPr>
            <w:tcW w:w="2464" w:type="dxa"/>
            <w:vMerge/>
          </w:tcPr>
          <w:p w:rsidR="00E93847" w:rsidRDefault="00E93847" w:rsidP="00DB4AC1">
            <w:pPr>
              <w:rPr>
                <w:b w:val="0"/>
                <w:bCs/>
                <w:sz w:val="24"/>
                <w:szCs w:val="20"/>
              </w:rPr>
            </w:pPr>
          </w:p>
        </w:tc>
        <w:tc>
          <w:tcPr>
            <w:tcW w:w="2213" w:type="dxa"/>
            <w:vMerge/>
          </w:tcPr>
          <w:p w:rsidR="00E93847" w:rsidRDefault="00E93847" w:rsidP="00DB4AC1">
            <w:pPr>
              <w:rPr>
                <w:b w:val="0"/>
                <w:bCs/>
                <w:sz w:val="24"/>
                <w:szCs w:val="20"/>
              </w:rPr>
            </w:pPr>
          </w:p>
        </w:tc>
      </w:tr>
      <w:tr w:rsidR="00486F87" w:rsidTr="00D14905">
        <w:tblPrEx>
          <w:tblLook w:val="04A0"/>
        </w:tblPrEx>
        <w:trPr>
          <w:jc w:val="center"/>
        </w:trPr>
        <w:tc>
          <w:tcPr>
            <w:tcW w:w="1696" w:type="dxa"/>
            <w:vMerge w:val="restart"/>
          </w:tcPr>
          <w:p w:rsidR="00486F87" w:rsidRDefault="00486F87" w:rsidP="00DB4AC1">
            <w:pPr>
              <w:rPr>
                <w:b w:val="0"/>
                <w:bCs/>
                <w:sz w:val="24"/>
                <w:szCs w:val="20"/>
              </w:rPr>
            </w:pPr>
          </w:p>
          <w:p w:rsidR="00486F87" w:rsidRDefault="00486F87" w:rsidP="00DB4AC1">
            <w:pPr>
              <w:rPr>
                <w:b w:val="0"/>
                <w:bCs/>
                <w:sz w:val="24"/>
                <w:szCs w:val="20"/>
              </w:rPr>
            </w:pPr>
          </w:p>
          <w:p w:rsidR="00486F87" w:rsidRDefault="00486F87" w:rsidP="00DB4AC1">
            <w:pPr>
              <w:rPr>
                <w:b w:val="0"/>
                <w:bCs/>
                <w:sz w:val="24"/>
                <w:szCs w:val="20"/>
              </w:rPr>
            </w:pPr>
          </w:p>
          <w:p w:rsidR="00486F87" w:rsidRDefault="00486F87" w:rsidP="00DB4AC1">
            <w:pPr>
              <w:rPr>
                <w:b w:val="0"/>
                <w:bCs/>
                <w:sz w:val="24"/>
                <w:szCs w:val="20"/>
              </w:rPr>
            </w:pPr>
          </w:p>
          <w:p w:rsidR="00486F87" w:rsidRDefault="00486F87" w:rsidP="00DB4AC1">
            <w:pPr>
              <w:rPr>
                <w:b w:val="0"/>
                <w:bCs/>
                <w:sz w:val="24"/>
                <w:szCs w:val="20"/>
              </w:rPr>
            </w:pPr>
          </w:p>
          <w:p w:rsidR="00486F87" w:rsidRDefault="00486F87" w:rsidP="00DB4AC1">
            <w:pPr>
              <w:rPr>
                <w:b w:val="0"/>
                <w:bCs/>
                <w:sz w:val="24"/>
                <w:szCs w:val="20"/>
              </w:rPr>
            </w:pPr>
          </w:p>
          <w:p w:rsidR="00486F87" w:rsidRDefault="00486F87" w:rsidP="00DB4AC1">
            <w:pPr>
              <w:rPr>
                <w:b w:val="0"/>
                <w:bCs/>
                <w:sz w:val="24"/>
                <w:szCs w:val="20"/>
              </w:rPr>
            </w:pPr>
          </w:p>
          <w:p w:rsidR="00486F87" w:rsidRDefault="00486F87" w:rsidP="00DB4AC1">
            <w:pPr>
              <w:rPr>
                <w:b w:val="0"/>
                <w:bCs/>
                <w:sz w:val="24"/>
                <w:szCs w:val="20"/>
              </w:rPr>
            </w:pPr>
          </w:p>
          <w:p w:rsidR="00486F87" w:rsidRDefault="00486F87" w:rsidP="00DB4AC1">
            <w:pPr>
              <w:rPr>
                <w:b w:val="0"/>
                <w:bCs/>
                <w:sz w:val="24"/>
                <w:szCs w:val="20"/>
              </w:rPr>
            </w:pPr>
            <w:r w:rsidRPr="00E93847">
              <w:rPr>
                <w:b w:val="0"/>
                <w:bCs/>
                <w:sz w:val="24"/>
                <w:szCs w:val="20"/>
              </w:rPr>
              <w:t>ODS 16: Paz, Justicia e Instituciones Sólidas.</w:t>
            </w:r>
          </w:p>
        </w:tc>
        <w:tc>
          <w:tcPr>
            <w:tcW w:w="2977" w:type="dxa"/>
          </w:tcPr>
          <w:p w:rsidR="00486F87" w:rsidRDefault="00486F87" w:rsidP="00DB4AC1">
            <w:pPr>
              <w:rPr>
                <w:b w:val="0"/>
                <w:bCs/>
                <w:sz w:val="24"/>
                <w:szCs w:val="20"/>
              </w:rPr>
            </w:pPr>
            <w:r w:rsidRPr="00E93847">
              <w:rPr>
                <w:b w:val="0"/>
                <w:bCs/>
                <w:sz w:val="24"/>
                <w:szCs w:val="20"/>
              </w:rPr>
              <w:t>16.10 Garantizar el acceso público a la información y proteger las libertades fundamentales, de conformidad con las leyes nacionales y los acuerdos internacionales.</w:t>
            </w:r>
          </w:p>
        </w:tc>
        <w:tc>
          <w:tcPr>
            <w:tcW w:w="2464" w:type="dxa"/>
            <w:vMerge w:val="restart"/>
          </w:tcPr>
          <w:p w:rsidR="00486F87" w:rsidRDefault="00486F87" w:rsidP="00DB4AC1">
            <w:pPr>
              <w:rPr>
                <w:b w:val="0"/>
                <w:bCs/>
                <w:sz w:val="24"/>
                <w:szCs w:val="20"/>
              </w:rPr>
            </w:pPr>
          </w:p>
          <w:p w:rsidR="00486F87" w:rsidRDefault="00486F87" w:rsidP="00DB4AC1">
            <w:pPr>
              <w:rPr>
                <w:b w:val="0"/>
                <w:bCs/>
                <w:sz w:val="24"/>
                <w:szCs w:val="20"/>
              </w:rPr>
            </w:pPr>
          </w:p>
          <w:p w:rsidR="00486F87" w:rsidRDefault="00486F87" w:rsidP="00DB4AC1">
            <w:pPr>
              <w:rPr>
                <w:b w:val="0"/>
                <w:bCs/>
                <w:sz w:val="24"/>
                <w:szCs w:val="20"/>
              </w:rPr>
            </w:pPr>
          </w:p>
          <w:p w:rsidR="00486F87" w:rsidRDefault="00486F87" w:rsidP="00DB4AC1">
            <w:pPr>
              <w:rPr>
                <w:b w:val="0"/>
                <w:bCs/>
                <w:sz w:val="24"/>
                <w:szCs w:val="20"/>
              </w:rPr>
            </w:pPr>
          </w:p>
          <w:p w:rsidR="00486F87" w:rsidRDefault="00486F87" w:rsidP="00DB4AC1">
            <w:pPr>
              <w:rPr>
                <w:b w:val="0"/>
                <w:bCs/>
                <w:sz w:val="24"/>
                <w:szCs w:val="20"/>
              </w:rPr>
            </w:pPr>
          </w:p>
          <w:p w:rsidR="00486F87" w:rsidRDefault="00486F87" w:rsidP="00DB4AC1">
            <w:pPr>
              <w:rPr>
                <w:b w:val="0"/>
                <w:bCs/>
                <w:sz w:val="24"/>
                <w:szCs w:val="20"/>
              </w:rPr>
            </w:pPr>
          </w:p>
          <w:p w:rsidR="00486F87" w:rsidRDefault="00486F87" w:rsidP="00DB4AC1">
            <w:pPr>
              <w:rPr>
                <w:b w:val="0"/>
                <w:bCs/>
                <w:sz w:val="24"/>
                <w:szCs w:val="20"/>
              </w:rPr>
            </w:pPr>
            <w:r>
              <w:rPr>
                <w:b w:val="0"/>
                <w:bCs/>
                <w:sz w:val="24"/>
                <w:szCs w:val="20"/>
              </w:rPr>
              <w:t xml:space="preserve">OE2: </w:t>
            </w:r>
            <w:r w:rsidRPr="00E93847">
              <w:rPr>
                <w:b w:val="0"/>
                <w:bCs/>
                <w:sz w:val="24"/>
                <w:szCs w:val="20"/>
              </w:rPr>
              <w:t>Mejorar la calidad de la gestión institucional del INAZUCAR del marco legal de la Administración Pública.</w:t>
            </w:r>
          </w:p>
        </w:tc>
        <w:tc>
          <w:tcPr>
            <w:tcW w:w="2213" w:type="dxa"/>
            <w:vMerge w:val="restart"/>
          </w:tcPr>
          <w:p w:rsidR="00486F87" w:rsidRDefault="00486F87" w:rsidP="00DB4AC1">
            <w:pPr>
              <w:rPr>
                <w:b w:val="0"/>
                <w:bCs/>
                <w:sz w:val="24"/>
                <w:szCs w:val="20"/>
              </w:rPr>
            </w:pPr>
          </w:p>
          <w:p w:rsidR="00486F87" w:rsidRDefault="00486F87" w:rsidP="00DB4AC1">
            <w:pPr>
              <w:rPr>
                <w:b w:val="0"/>
                <w:bCs/>
                <w:sz w:val="24"/>
                <w:szCs w:val="20"/>
              </w:rPr>
            </w:pPr>
          </w:p>
          <w:p w:rsidR="00486F87" w:rsidRDefault="00486F87" w:rsidP="00DB4AC1">
            <w:pPr>
              <w:rPr>
                <w:b w:val="0"/>
                <w:bCs/>
                <w:sz w:val="24"/>
                <w:szCs w:val="20"/>
              </w:rPr>
            </w:pPr>
          </w:p>
          <w:p w:rsidR="00486F87" w:rsidRDefault="00486F87" w:rsidP="00DB4AC1">
            <w:pPr>
              <w:rPr>
                <w:b w:val="0"/>
                <w:bCs/>
                <w:sz w:val="24"/>
                <w:szCs w:val="20"/>
              </w:rPr>
            </w:pPr>
          </w:p>
          <w:p w:rsidR="00486F87" w:rsidRDefault="00486F87" w:rsidP="00DB4AC1">
            <w:pPr>
              <w:rPr>
                <w:b w:val="0"/>
                <w:bCs/>
                <w:sz w:val="24"/>
                <w:szCs w:val="20"/>
              </w:rPr>
            </w:pPr>
          </w:p>
          <w:p w:rsidR="00486F87" w:rsidRDefault="00486F87" w:rsidP="00DB4AC1">
            <w:pPr>
              <w:rPr>
                <w:b w:val="0"/>
                <w:bCs/>
                <w:sz w:val="24"/>
                <w:szCs w:val="20"/>
              </w:rPr>
            </w:pPr>
          </w:p>
          <w:p w:rsidR="00486F87" w:rsidRDefault="00486F87" w:rsidP="00DB4AC1">
            <w:pPr>
              <w:rPr>
                <w:b w:val="0"/>
                <w:bCs/>
                <w:sz w:val="24"/>
                <w:szCs w:val="20"/>
              </w:rPr>
            </w:pPr>
            <w:r>
              <w:rPr>
                <w:b w:val="0"/>
                <w:bCs/>
                <w:sz w:val="24"/>
                <w:szCs w:val="20"/>
              </w:rPr>
              <w:t xml:space="preserve">RE2: </w:t>
            </w:r>
            <w:r w:rsidRPr="00E93847">
              <w:rPr>
                <w:b w:val="0"/>
                <w:bCs/>
                <w:sz w:val="24"/>
                <w:szCs w:val="20"/>
              </w:rPr>
              <w:t>Fortalecidas las capacidades de gestión técnica, administrativa y logística del INAZUCAR.</w:t>
            </w:r>
          </w:p>
        </w:tc>
      </w:tr>
      <w:tr w:rsidR="00486F87" w:rsidTr="00D14905">
        <w:tblPrEx>
          <w:tblLook w:val="04A0"/>
        </w:tblPrEx>
        <w:trPr>
          <w:jc w:val="center"/>
        </w:trPr>
        <w:tc>
          <w:tcPr>
            <w:tcW w:w="1696" w:type="dxa"/>
            <w:vMerge/>
          </w:tcPr>
          <w:p w:rsidR="00486F87" w:rsidRDefault="00486F87" w:rsidP="00DB4AC1">
            <w:pPr>
              <w:rPr>
                <w:b w:val="0"/>
                <w:bCs/>
                <w:sz w:val="24"/>
                <w:szCs w:val="20"/>
              </w:rPr>
            </w:pPr>
          </w:p>
        </w:tc>
        <w:tc>
          <w:tcPr>
            <w:tcW w:w="2977" w:type="dxa"/>
          </w:tcPr>
          <w:p w:rsidR="00486F87" w:rsidRDefault="00486F87" w:rsidP="00DB4AC1">
            <w:pPr>
              <w:rPr>
                <w:b w:val="0"/>
                <w:bCs/>
                <w:sz w:val="24"/>
                <w:szCs w:val="20"/>
              </w:rPr>
            </w:pPr>
            <w:r w:rsidRPr="00E93847">
              <w:rPr>
                <w:b w:val="0"/>
                <w:bCs/>
                <w:sz w:val="24"/>
                <w:szCs w:val="20"/>
              </w:rPr>
              <w:t>16.5 Reducir considerablemente la corrupción y el soborno en todas sus formas   16.6 Crear a todos los niveles instituciones eficaces y transparentes que rindan cuentas.</w:t>
            </w:r>
          </w:p>
        </w:tc>
        <w:tc>
          <w:tcPr>
            <w:tcW w:w="2464" w:type="dxa"/>
            <w:vMerge/>
          </w:tcPr>
          <w:p w:rsidR="00486F87" w:rsidRDefault="00486F87" w:rsidP="00DB4AC1">
            <w:pPr>
              <w:rPr>
                <w:b w:val="0"/>
                <w:bCs/>
                <w:sz w:val="24"/>
                <w:szCs w:val="20"/>
              </w:rPr>
            </w:pPr>
          </w:p>
        </w:tc>
        <w:tc>
          <w:tcPr>
            <w:tcW w:w="2213" w:type="dxa"/>
            <w:vMerge/>
          </w:tcPr>
          <w:p w:rsidR="00486F87" w:rsidRDefault="00486F87" w:rsidP="00DB4AC1">
            <w:pPr>
              <w:rPr>
                <w:b w:val="0"/>
                <w:bCs/>
                <w:sz w:val="24"/>
                <w:szCs w:val="20"/>
              </w:rPr>
            </w:pPr>
          </w:p>
        </w:tc>
      </w:tr>
      <w:tr w:rsidR="00486F87" w:rsidTr="00D14905">
        <w:tblPrEx>
          <w:tblLook w:val="04A0"/>
        </w:tblPrEx>
        <w:trPr>
          <w:jc w:val="center"/>
        </w:trPr>
        <w:tc>
          <w:tcPr>
            <w:tcW w:w="1696" w:type="dxa"/>
            <w:vMerge/>
          </w:tcPr>
          <w:p w:rsidR="00486F87" w:rsidRDefault="00486F87" w:rsidP="00DB4AC1">
            <w:pPr>
              <w:rPr>
                <w:b w:val="0"/>
                <w:bCs/>
                <w:sz w:val="24"/>
                <w:szCs w:val="20"/>
              </w:rPr>
            </w:pPr>
          </w:p>
        </w:tc>
        <w:tc>
          <w:tcPr>
            <w:tcW w:w="2977" w:type="dxa"/>
          </w:tcPr>
          <w:p w:rsidR="00486F87" w:rsidRDefault="00486F87" w:rsidP="00DB4AC1">
            <w:pPr>
              <w:rPr>
                <w:b w:val="0"/>
                <w:bCs/>
                <w:sz w:val="24"/>
                <w:szCs w:val="20"/>
              </w:rPr>
            </w:pPr>
            <w:r w:rsidRPr="00E93847">
              <w:rPr>
                <w:b w:val="0"/>
                <w:bCs/>
                <w:sz w:val="24"/>
                <w:szCs w:val="20"/>
              </w:rPr>
              <w:t>16.6 Crear a todos los niveles instituciones eficaces y transparentes que rindan cuentas.</w:t>
            </w:r>
          </w:p>
        </w:tc>
        <w:tc>
          <w:tcPr>
            <w:tcW w:w="2464" w:type="dxa"/>
            <w:vMerge/>
          </w:tcPr>
          <w:p w:rsidR="00486F87" w:rsidRDefault="00486F87" w:rsidP="00DB4AC1">
            <w:pPr>
              <w:rPr>
                <w:b w:val="0"/>
                <w:bCs/>
                <w:sz w:val="24"/>
                <w:szCs w:val="20"/>
              </w:rPr>
            </w:pPr>
          </w:p>
        </w:tc>
        <w:tc>
          <w:tcPr>
            <w:tcW w:w="2213" w:type="dxa"/>
            <w:vMerge/>
          </w:tcPr>
          <w:p w:rsidR="00486F87" w:rsidRDefault="00486F87" w:rsidP="00DB4AC1">
            <w:pPr>
              <w:rPr>
                <w:b w:val="0"/>
                <w:bCs/>
                <w:sz w:val="24"/>
                <w:szCs w:val="20"/>
              </w:rPr>
            </w:pPr>
          </w:p>
        </w:tc>
      </w:tr>
    </w:tbl>
    <w:p w:rsidR="00DB4AC1" w:rsidRDefault="00DB4AC1" w:rsidP="00FC4D65">
      <w:pPr>
        <w:tabs>
          <w:tab w:val="left" w:pos="1425"/>
        </w:tabs>
        <w:spacing w:after="0" w:line="360" w:lineRule="auto"/>
        <w:rPr>
          <w:sz w:val="24"/>
          <w:szCs w:val="20"/>
        </w:rPr>
      </w:pPr>
    </w:p>
    <w:p w:rsidR="00DB4AC1" w:rsidRDefault="00DB4AC1" w:rsidP="00E47275">
      <w:pPr>
        <w:pStyle w:val="Ttulo1"/>
        <w:numPr>
          <w:ilvl w:val="1"/>
          <w:numId w:val="23"/>
        </w:numPr>
      </w:pPr>
      <w:bookmarkStart w:id="23" w:name="_Toc80090950"/>
      <w:bookmarkStart w:id="24" w:name="_Toc80177695"/>
      <w:r>
        <w:t xml:space="preserve">Vinculación con la Estrategia Nacional de Desarrollo 2030 </w:t>
      </w:r>
      <w:r w:rsidRPr="007B0D80">
        <w:t>(END 2030)</w:t>
      </w:r>
      <w:bookmarkEnd w:id="23"/>
      <w:bookmarkEnd w:id="24"/>
    </w:p>
    <w:p w:rsidR="00FC4D65" w:rsidRDefault="00FC4D65" w:rsidP="00FC4D65">
      <w:pPr>
        <w:spacing w:after="0" w:line="360" w:lineRule="auto"/>
        <w:rPr>
          <w:b w:val="0"/>
          <w:bCs/>
          <w:sz w:val="24"/>
          <w:szCs w:val="20"/>
        </w:rPr>
      </w:pPr>
    </w:p>
    <w:p w:rsidR="00FC4D65" w:rsidRDefault="00FC4D65" w:rsidP="00FC4D65">
      <w:pPr>
        <w:spacing w:after="0" w:line="360" w:lineRule="auto"/>
        <w:rPr>
          <w:b w:val="0"/>
          <w:bCs/>
          <w:sz w:val="24"/>
          <w:szCs w:val="20"/>
        </w:rPr>
      </w:pPr>
      <w:r w:rsidRPr="00FC4D65">
        <w:rPr>
          <w:b w:val="0"/>
          <w:bCs/>
          <w:sz w:val="24"/>
          <w:szCs w:val="20"/>
        </w:rPr>
        <w:lastRenderedPageBreak/>
        <w:t xml:space="preserve">La Estrategia Nacional de Desarrollo </w:t>
      </w:r>
      <w:r>
        <w:rPr>
          <w:b w:val="0"/>
          <w:bCs/>
          <w:sz w:val="24"/>
          <w:szCs w:val="20"/>
        </w:rPr>
        <w:t>2010-2030 (END 2030) es</w:t>
      </w:r>
      <w:r w:rsidRPr="00FC4D65">
        <w:rPr>
          <w:b w:val="0"/>
          <w:bCs/>
          <w:sz w:val="24"/>
          <w:szCs w:val="20"/>
        </w:rPr>
        <w:t xml:space="preserve"> el instrumento </w:t>
      </w:r>
      <w:r>
        <w:rPr>
          <w:b w:val="0"/>
          <w:bCs/>
          <w:sz w:val="24"/>
          <w:szCs w:val="20"/>
        </w:rPr>
        <w:t xml:space="preserve">programático con carácter legal </w:t>
      </w:r>
      <w:r w:rsidRPr="00FC4D65">
        <w:rPr>
          <w:b w:val="0"/>
          <w:bCs/>
          <w:sz w:val="24"/>
          <w:szCs w:val="20"/>
        </w:rPr>
        <w:t>para</w:t>
      </w:r>
      <w:r>
        <w:rPr>
          <w:b w:val="0"/>
          <w:bCs/>
          <w:sz w:val="24"/>
          <w:szCs w:val="20"/>
        </w:rPr>
        <w:t xml:space="preserve"> que la República Dominicana pueda</w:t>
      </w:r>
      <w:r w:rsidRPr="00FC4D65">
        <w:rPr>
          <w:b w:val="0"/>
          <w:bCs/>
          <w:sz w:val="24"/>
          <w:szCs w:val="20"/>
        </w:rPr>
        <w:t xml:space="preserve"> avanzar hacia </w:t>
      </w:r>
      <w:r>
        <w:rPr>
          <w:b w:val="0"/>
          <w:bCs/>
          <w:sz w:val="24"/>
          <w:szCs w:val="20"/>
        </w:rPr>
        <w:t xml:space="preserve">la consecución </w:t>
      </w:r>
      <w:r w:rsidRPr="00FC4D65">
        <w:rPr>
          <w:b w:val="0"/>
          <w:bCs/>
          <w:sz w:val="24"/>
          <w:szCs w:val="20"/>
        </w:rPr>
        <w:t xml:space="preserve">de un país desarrollado y una sociedad cohesionada </w:t>
      </w:r>
      <w:r>
        <w:rPr>
          <w:b w:val="0"/>
          <w:bCs/>
          <w:sz w:val="24"/>
          <w:szCs w:val="20"/>
        </w:rPr>
        <w:t>al año 2030</w:t>
      </w:r>
      <w:r w:rsidRPr="00FC4D65">
        <w:rPr>
          <w:b w:val="0"/>
          <w:bCs/>
          <w:sz w:val="24"/>
          <w:szCs w:val="20"/>
        </w:rPr>
        <w:t>.</w:t>
      </w:r>
    </w:p>
    <w:p w:rsidR="00FC4D65" w:rsidRDefault="00FC4D65" w:rsidP="00FC4D65">
      <w:pPr>
        <w:spacing w:after="0" w:line="360" w:lineRule="auto"/>
        <w:rPr>
          <w:b w:val="0"/>
          <w:bCs/>
          <w:sz w:val="24"/>
          <w:szCs w:val="20"/>
        </w:rPr>
      </w:pPr>
    </w:p>
    <w:p w:rsidR="00246994" w:rsidRDefault="00FC4D65" w:rsidP="00246994">
      <w:pPr>
        <w:spacing w:after="0" w:line="360" w:lineRule="auto"/>
        <w:rPr>
          <w:b w:val="0"/>
          <w:bCs/>
          <w:sz w:val="24"/>
          <w:szCs w:val="20"/>
        </w:rPr>
      </w:pPr>
      <w:r>
        <w:rPr>
          <w:b w:val="0"/>
          <w:bCs/>
          <w:sz w:val="24"/>
          <w:szCs w:val="20"/>
        </w:rPr>
        <w:t xml:space="preserve">Los ODS 2030 </w:t>
      </w:r>
      <w:r w:rsidR="00246994">
        <w:rPr>
          <w:b w:val="0"/>
          <w:bCs/>
          <w:sz w:val="24"/>
          <w:szCs w:val="20"/>
        </w:rPr>
        <w:t>establecen la visión</w:t>
      </w:r>
      <w:r w:rsidR="00246994" w:rsidRPr="00246994">
        <w:rPr>
          <w:b w:val="0"/>
          <w:bCs/>
          <w:sz w:val="24"/>
          <w:szCs w:val="20"/>
        </w:rPr>
        <w:t xml:space="preserve"> del país en el largo plazo</w:t>
      </w:r>
      <w:r w:rsidR="00246994">
        <w:rPr>
          <w:b w:val="0"/>
          <w:bCs/>
          <w:sz w:val="24"/>
          <w:szCs w:val="20"/>
        </w:rPr>
        <w:t xml:space="preserve">. En ese orden, la máxima aspiración colectiva de la República Dominicana para el año 2030 consiste en </w:t>
      </w:r>
      <w:r w:rsidR="00246994" w:rsidRPr="00246994">
        <w:rPr>
          <w:b w:val="0"/>
          <w:bCs/>
          <w:sz w:val="24"/>
          <w:szCs w:val="20"/>
        </w:rPr>
        <w:t>ser “un país próspero, donde las personas viven dignamente, apegadas a valores éticos y en el marco de una democracia participativa que garantiza el Estado social y democrático de derecho y promueve la equidad, la igualdad de oportunidades, la justicia social que gestiona y aprovecha sus recursos para desarrollarse de forma innovadora, sostenible y territorialmente equilibrada e integrada y se inserta competitivamente en la economía global”.</w:t>
      </w:r>
    </w:p>
    <w:p w:rsidR="00246994" w:rsidRDefault="00246994" w:rsidP="00246994">
      <w:pPr>
        <w:spacing w:after="0" w:line="360" w:lineRule="auto"/>
        <w:rPr>
          <w:b w:val="0"/>
          <w:bCs/>
          <w:sz w:val="24"/>
          <w:szCs w:val="20"/>
        </w:rPr>
      </w:pPr>
    </w:p>
    <w:p w:rsidR="00175DFE" w:rsidRDefault="00246994" w:rsidP="00246994">
      <w:pPr>
        <w:spacing w:after="0" w:line="360" w:lineRule="auto"/>
        <w:rPr>
          <w:b w:val="0"/>
          <w:bCs/>
          <w:sz w:val="24"/>
          <w:szCs w:val="20"/>
        </w:rPr>
      </w:pPr>
      <w:r w:rsidRPr="00246994">
        <w:rPr>
          <w:b w:val="0"/>
          <w:bCs/>
          <w:sz w:val="24"/>
          <w:szCs w:val="20"/>
        </w:rPr>
        <w:t xml:space="preserve">Para </w:t>
      </w:r>
      <w:r>
        <w:rPr>
          <w:b w:val="0"/>
          <w:bCs/>
          <w:sz w:val="24"/>
          <w:szCs w:val="20"/>
        </w:rPr>
        <w:t>hacer posible el logro la referida visión</w:t>
      </w:r>
      <w:r w:rsidRPr="00246994">
        <w:rPr>
          <w:b w:val="0"/>
          <w:bCs/>
          <w:sz w:val="24"/>
          <w:szCs w:val="20"/>
        </w:rPr>
        <w:t xml:space="preserve">, en la END </w:t>
      </w:r>
      <w:r>
        <w:rPr>
          <w:b w:val="0"/>
          <w:bCs/>
          <w:sz w:val="24"/>
          <w:szCs w:val="20"/>
        </w:rPr>
        <w:t xml:space="preserve">2030 </w:t>
      </w:r>
      <w:r w:rsidRPr="00246994">
        <w:rPr>
          <w:b w:val="0"/>
          <w:bCs/>
          <w:sz w:val="24"/>
          <w:szCs w:val="20"/>
        </w:rPr>
        <w:t xml:space="preserve">se definieron cuatro ejes estratégicos </w:t>
      </w:r>
      <w:r>
        <w:rPr>
          <w:b w:val="0"/>
          <w:bCs/>
          <w:sz w:val="24"/>
          <w:szCs w:val="20"/>
        </w:rPr>
        <w:t>que articulan las actuaciones de cara a dicho propósito</w:t>
      </w:r>
      <w:r w:rsidR="00175DFE">
        <w:rPr>
          <w:b w:val="0"/>
          <w:bCs/>
          <w:sz w:val="24"/>
          <w:szCs w:val="20"/>
        </w:rPr>
        <w:t>, los cuales se describen a continuación</w:t>
      </w:r>
      <w:r>
        <w:rPr>
          <w:b w:val="0"/>
          <w:bCs/>
          <w:sz w:val="24"/>
          <w:szCs w:val="20"/>
        </w:rPr>
        <w:t xml:space="preserve">. </w:t>
      </w:r>
    </w:p>
    <w:p w:rsidR="00175DFE" w:rsidRDefault="00175DFE" w:rsidP="00246994">
      <w:pPr>
        <w:spacing w:after="0" w:line="360" w:lineRule="auto"/>
        <w:rPr>
          <w:b w:val="0"/>
          <w:bCs/>
          <w:sz w:val="24"/>
          <w:szCs w:val="20"/>
        </w:rPr>
      </w:pPr>
    </w:p>
    <w:p w:rsidR="00175DFE" w:rsidRPr="00175DFE" w:rsidRDefault="00175DFE" w:rsidP="00175DFE">
      <w:pPr>
        <w:pStyle w:val="Prrafodelista"/>
        <w:numPr>
          <w:ilvl w:val="0"/>
          <w:numId w:val="15"/>
        </w:numPr>
        <w:spacing w:after="0" w:line="360" w:lineRule="auto"/>
        <w:rPr>
          <w:b w:val="0"/>
          <w:bCs/>
          <w:sz w:val="24"/>
          <w:szCs w:val="20"/>
        </w:rPr>
      </w:pPr>
      <w:r w:rsidRPr="00175DFE">
        <w:rPr>
          <w:sz w:val="24"/>
          <w:szCs w:val="20"/>
        </w:rPr>
        <w:t>Eje Estratégico 1:</w:t>
      </w:r>
      <w:r w:rsidRPr="00175DFE">
        <w:rPr>
          <w:b w:val="0"/>
          <w:bCs/>
          <w:sz w:val="24"/>
          <w:szCs w:val="20"/>
        </w:rPr>
        <w:t xml:space="preserve"> Un Estado social y democrático de derecho, con instituciones que actúan con ética, transparencia y eficacia al servicio de una sociedad responsable y participativa, que garantiza la seguridad y promueve la equidad, la gobernabilidad, la convivencia pacífica y el desarrollo nacional y local.</w:t>
      </w:r>
    </w:p>
    <w:p w:rsidR="00175DFE" w:rsidRPr="00175DFE" w:rsidRDefault="00175DFE" w:rsidP="00175DFE">
      <w:pPr>
        <w:pStyle w:val="Prrafodelista"/>
        <w:numPr>
          <w:ilvl w:val="0"/>
          <w:numId w:val="15"/>
        </w:numPr>
        <w:spacing w:after="0" w:line="360" w:lineRule="auto"/>
        <w:rPr>
          <w:b w:val="0"/>
          <w:bCs/>
          <w:sz w:val="24"/>
          <w:szCs w:val="20"/>
        </w:rPr>
      </w:pPr>
      <w:r w:rsidRPr="00175DFE">
        <w:rPr>
          <w:sz w:val="24"/>
          <w:szCs w:val="20"/>
        </w:rPr>
        <w:t>Eje Estratégico 2:</w:t>
      </w:r>
      <w:r w:rsidRPr="00175DFE">
        <w:rPr>
          <w:b w:val="0"/>
          <w:bCs/>
          <w:sz w:val="24"/>
          <w:szCs w:val="20"/>
        </w:rPr>
        <w:t xml:space="preserve"> Una sociedad con igualdad de derecho y oportunidades en la que toda la población tiene garantizada educación, salud, vivienda digna y servicios básicos de calidad, y que promueve la reducción progresiva de la pobreza y la desigualdad social y territorial.</w:t>
      </w:r>
    </w:p>
    <w:p w:rsidR="00175DFE" w:rsidRPr="00175DFE" w:rsidRDefault="00175DFE" w:rsidP="00175DFE">
      <w:pPr>
        <w:pStyle w:val="Prrafodelista"/>
        <w:numPr>
          <w:ilvl w:val="0"/>
          <w:numId w:val="15"/>
        </w:numPr>
        <w:spacing w:after="0" w:line="360" w:lineRule="auto"/>
        <w:rPr>
          <w:b w:val="0"/>
          <w:bCs/>
          <w:sz w:val="24"/>
          <w:szCs w:val="20"/>
        </w:rPr>
      </w:pPr>
      <w:r w:rsidRPr="00175DFE">
        <w:rPr>
          <w:sz w:val="24"/>
          <w:szCs w:val="20"/>
        </w:rPr>
        <w:t>Eje Estratégico 3:</w:t>
      </w:r>
      <w:r w:rsidRPr="00175DFE">
        <w:rPr>
          <w:b w:val="0"/>
          <w:bCs/>
          <w:sz w:val="24"/>
          <w:szCs w:val="20"/>
        </w:rPr>
        <w:t xml:space="preserve"> Una economía territorial y sectorialmente integrada, innovadora, diversificada, plural, orientada a la calidad y ambientalmente sostenible, que crea y desconcentra la riqueza, genera conocimiento alto y sostenido con equidad y empleo digno, y que aprovecha y potencia las oportunidades del mercado local y se inserta de forma competitiva en la economía global.</w:t>
      </w:r>
    </w:p>
    <w:p w:rsidR="00175DFE" w:rsidRPr="00175DFE" w:rsidRDefault="00175DFE" w:rsidP="00175DFE">
      <w:pPr>
        <w:pStyle w:val="Prrafodelista"/>
        <w:numPr>
          <w:ilvl w:val="0"/>
          <w:numId w:val="15"/>
        </w:numPr>
        <w:spacing w:after="0" w:line="360" w:lineRule="auto"/>
        <w:rPr>
          <w:b w:val="0"/>
          <w:bCs/>
          <w:sz w:val="24"/>
          <w:szCs w:val="20"/>
        </w:rPr>
      </w:pPr>
      <w:r w:rsidRPr="00175DFE">
        <w:rPr>
          <w:sz w:val="24"/>
          <w:szCs w:val="20"/>
        </w:rPr>
        <w:lastRenderedPageBreak/>
        <w:t>Eje Estratégico 4:</w:t>
      </w:r>
      <w:r w:rsidRPr="00175DFE">
        <w:rPr>
          <w:b w:val="0"/>
          <w:bCs/>
          <w:sz w:val="24"/>
          <w:szCs w:val="20"/>
        </w:rPr>
        <w:t xml:space="preserve"> Una sociedad con cultura de producción y consumos sostenibles, que gestiona con equidad y eficacia los riesgos y la protección del medio ambiente y los recursos naturales y promueve una adecuada adaptación al cambio climático.</w:t>
      </w:r>
    </w:p>
    <w:p w:rsidR="00175DFE" w:rsidRDefault="00175DFE" w:rsidP="00246994">
      <w:pPr>
        <w:spacing w:after="0" w:line="360" w:lineRule="auto"/>
        <w:rPr>
          <w:b w:val="0"/>
          <w:bCs/>
          <w:sz w:val="24"/>
          <w:szCs w:val="20"/>
        </w:rPr>
      </w:pPr>
    </w:p>
    <w:p w:rsidR="00175DFE" w:rsidRDefault="00175DFE" w:rsidP="00246994">
      <w:pPr>
        <w:spacing w:after="0" w:line="360" w:lineRule="auto"/>
        <w:rPr>
          <w:b w:val="0"/>
          <w:bCs/>
          <w:sz w:val="24"/>
          <w:szCs w:val="20"/>
        </w:rPr>
      </w:pPr>
      <w:r>
        <w:rPr>
          <w:b w:val="0"/>
          <w:bCs/>
          <w:sz w:val="24"/>
          <w:szCs w:val="20"/>
        </w:rPr>
        <w:t xml:space="preserve">Asimismo, el indicado instrumento </w:t>
      </w:r>
      <w:r w:rsidR="00902C00">
        <w:rPr>
          <w:b w:val="0"/>
          <w:bCs/>
          <w:sz w:val="24"/>
          <w:szCs w:val="20"/>
        </w:rPr>
        <w:t>contiene un conjunto de objetivos, metas e indicadores que posibilitan su implementación, control, medición y evaluación, por medio de la ejecución de programas, planes y proyectos.</w:t>
      </w:r>
    </w:p>
    <w:p w:rsidR="00902C00" w:rsidRDefault="00902C00" w:rsidP="00246994">
      <w:pPr>
        <w:spacing w:after="0" w:line="360" w:lineRule="auto"/>
        <w:rPr>
          <w:b w:val="0"/>
          <w:bCs/>
          <w:sz w:val="24"/>
          <w:szCs w:val="20"/>
        </w:rPr>
      </w:pPr>
    </w:p>
    <w:p w:rsidR="00175DFE" w:rsidRDefault="00175DFE" w:rsidP="00246994">
      <w:pPr>
        <w:spacing w:after="0" w:line="360" w:lineRule="auto"/>
        <w:rPr>
          <w:b w:val="0"/>
          <w:bCs/>
          <w:sz w:val="24"/>
          <w:szCs w:val="20"/>
        </w:rPr>
      </w:pPr>
    </w:p>
    <w:p w:rsidR="002A7E23" w:rsidRDefault="002A7E23" w:rsidP="00246994">
      <w:pPr>
        <w:spacing w:after="0" w:line="360" w:lineRule="auto"/>
        <w:rPr>
          <w:b w:val="0"/>
          <w:bCs/>
          <w:sz w:val="24"/>
          <w:szCs w:val="20"/>
        </w:rPr>
        <w:sectPr w:rsidR="002A7E23" w:rsidSect="00102C17">
          <w:pgSz w:w="12240" w:h="15840"/>
          <w:pgMar w:top="1440" w:right="1440" w:bottom="1440" w:left="1440" w:header="708" w:footer="708" w:gutter="0"/>
          <w:cols w:space="708"/>
          <w:titlePg/>
          <w:docGrid w:linePitch="382"/>
        </w:sectPr>
      </w:pPr>
    </w:p>
    <w:p w:rsidR="003E7B3E" w:rsidRDefault="00246994" w:rsidP="00FC4D65">
      <w:pPr>
        <w:spacing w:after="0" w:line="360" w:lineRule="auto"/>
        <w:rPr>
          <w:b w:val="0"/>
          <w:bCs/>
          <w:sz w:val="24"/>
          <w:szCs w:val="20"/>
        </w:rPr>
      </w:pPr>
      <w:r>
        <w:rPr>
          <w:b w:val="0"/>
          <w:bCs/>
          <w:sz w:val="24"/>
          <w:szCs w:val="20"/>
        </w:rPr>
        <w:lastRenderedPageBreak/>
        <w:t>El Decreto</w:t>
      </w:r>
      <w:r w:rsidRPr="00246994">
        <w:rPr>
          <w:b w:val="0"/>
          <w:bCs/>
          <w:sz w:val="24"/>
          <w:szCs w:val="20"/>
        </w:rPr>
        <w:t xml:space="preserve"> a lasinstituciones del sector público a alinear sus iniciativas de planificación a la consecución de los objetivos consignados en lamisma.</w:t>
      </w:r>
      <w:r w:rsidR="00FC4D65" w:rsidRPr="00FC4D65">
        <w:rPr>
          <w:b w:val="0"/>
          <w:bCs/>
          <w:sz w:val="24"/>
          <w:szCs w:val="20"/>
        </w:rPr>
        <w:t xml:space="preserve">De ahí, que </w:t>
      </w:r>
      <w:r w:rsidR="00853CF2">
        <w:rPr>
          <w:b w:val="0"/>
          <w:bCs/>
          <w:sz w:val="24"/>
          <w:szCs w:val="20"/>
        </w:rPr>
        <w:t>los sectores y las instituciones de la administración pública</w:t>
      </w:r>
      <w:r w:rsidR="00FC4D65" w:rsidRPr="00FC4D65">
        <w:rPr>
          <w:b w:val="0"/>
          <w:bCs/>
          <w:sz w:val="24"/>
          <w:szCs w:val="20"/>
        </w:rPr>
        <w:t xml:space="preserve"> deben consignar en sus </w:t>
      </w:r>
      <w:r w:rsidR="00853CF2">
        <w:rPr>
          <w:b w:val="0"/>
          <w:bCs/>
          <w:sz w:val="24"/>
          <w:szCs w:val="20"/>
        </w:rPr>
        <w:t xml:space="preserve">respectivas </w:t>
      </w:r>
      <w:r w:rsidR="00FC4D65" w:rsidRPr="00FC4D65">
        <w:rPr>
          <w:b w:val="0"/>
          <w:bCs/>
          <w:sz w:val="24"/>
          <w:szCs w:val="20"/>
        </w:rPr>
        <w:t xml:space="preserve">planificaciones compromisos estratégicos, programáticos y presupuestarios que aporten a la consecución de las aspiraciones </w:t>
      </w:r>
      <w:r w:rsidR="00853CF2">
        <w:rPr>
          <w:b w:val="0"/>
          <w:bCs/>
          <w:sz w:val="24"/>
          <w:szCs w:val="20"/>
        </w:rPr>
        <w:t>nacionales</w:t>
      </w:r>
      <w:r w:rsidR="00FC4D65" w:rsidRPr="00FC4D65">
        <w:rPr>
          <w:b w:val="0"/>
          <w:bCs/>
          <w:sz w:val="24"/>
          <w:szCs w:val="20"/>
        </w:rPr>
        <w:t xml:space="preserve">. Dicho de otra forma, las aspiraciones propias de la República Dominicana deben </w:t>
      </w:r>
      <w:r w:rsidR="00853CF2">
        <w:rPr>
          <w:b w:val="0"/>
          <w:bCs/>
          <w:sz w:val="24"/>
          <w:szCs w:val="20"/>
        </w:rPr>
        <w:t xml:space="preserve">visibilizarse de forma concretaen los </w:t>
      </w:r>
      <w:r w:rsidR="00FC4D65" w:rsidRPr="00FC4D65">
        <w:rPr>
          <w:b w:val="0"/>
          <w:bCs/>
          <w:sz w:val="24"/>
          <w:szCs w:val="20"/>
        </w:rPr>
        <w:t xml:space="preserve">diferentes </w:t>
      </w:r>
      <w:r w:rsidR="00853CF2">
        <w:rPr>
          <w:b w:val="0"/>
          <w:bCs/>
          <w:sz w:val="24"/>
          <w:szCs w:val="20"/>
        </w:rPr>
        <w:t>planes y estrategias sectoriales e institucionales</w:t>
      </w:r>
      <w:r w:rsidR="00FC4D65" w:rsidRPr="00FC4D65">
        <w:rPr>
          <w:b w:val="0"/>
          <w:bCs/>
          <w:sz w:val="24"/>
          <w:szCs w:val="20"/>
        </w:rPr>
        <w:t xml:space="preserve">. En ese orden, a continuación, se presenta una matriz de relación entre los </w:t>
      </w:r>
      <w:r w:rsidR="00853CF2">
        <w:rPr>
          <w:b w:val="0"/>
          <w:bCs/>
          <w:sz w:val="24"/>
          <w:szCs w:val="20"/>
        </w:rPr>
        <w:t>la END 2030</w:t>
      </w:r>
      <w:r w:rsidR="00FC4D65" w:rsidRPr="00FC4D65">
        <w:rPr>
          <w:b w:val="0"/>
          <w:bCs/>
          <w:sz w:val="24"/>
          <w:szCs w:val="20"/>
        </w:rPr>
        <w:t xml:space="preserve"> y el PEI 2024 del INAZUCAR.</w:t>
      </w:r>
    </w:p>
    <w:p w:rsidR="003E7B3E" w:rsidRDefault="003E7B3E" w:rsidP="00FC4D65">
      <w:pPr>
        <w:spacing w:after="0" w:line="360" w:lineRule="auto"/>
        <w:rPr>
          <w:b w:val="0"/>
          <w:bCs/>
          <w:sz w:val="24"/>
          <w:szCs w:val="20"/>
        </w:rPr>
      </w:pPr>
    </w:p>
    <w:tbl>
      <w:tblPr>
        <w:tblStyle w:val="Tablaconcuadrcula"/>
        <w:tblW w:w="13036" w:type="dxa"/>
        <w:jc w:val="center"/>
        <w:tblLook w:val="0000"/>
      </w:tblPr>
      <w:tblGrid>
        <w:gridCol w:w="2263"/>
        <w:gridCol w:w="2127"/>
        <w:gridCol w:w="2126"/>
        <w:gridCol w:w="2238"/>
        <w:gridCol w:w="1950"/>
        <w:gridCol w:w="2332"/>
      </w:tblGrid>
      <w:tr w:rsidR="002A7E23" w:rsidTr="002A7E23">
        <w:trPr>
          <w:trHeight w:val="315"/>
          <w:jc w:val="center"/>
        </w:trPr>
        <w:tc>
          <w:tcPr>
            <w:tcW w:w="13036" w:type="dxa"/>
            <w:gridSpan w:val="6"/>
          </w:tcPr>
          <w:p w:rsidR="002A7E23" w:rsidRDefault="002A7E23" w:rsidP="00FB0A05">
            <w:pPr>
              <w:jc w:val="center"/>
              <w:rPr>
                <w:sz w:val="24"/>
                <w:szCs w:val="20"/>
              </w:rPr>
            </w:pPr>
            <w:bookmarkStart w:id="25" w:name="_Hlk79666417"/>
            <w:r>
              <w:rPr>
                <w:sz w:val="24"/>
                <w:szCs w:val="20"/>
              </w:rPr>
              <w:t>Tabla No. II: Vinculación entre el PEI 2024 y la END 2030</w:t>
            </w:r>
          </w:p>
        </w:tc>
      </w:tr>
      <w:tr w:rsidR="002A7E23" w:rsidRPr="00AF3E13" w:rsidTr="002A7E23">
        <w:tblPrEx>
          <w:tblLook w:val="04A0"/>
        </w:tblPrEx>
        <w:trPr>
          <w:jc w:val="center"/>
        </w:trPr>
        <w:tc>
          <w:tcPr>
            <w:tcW w:w="8754" w:type="dxa"/>
            <w:gridSpan w:val="4"/>
          </w:tcPr>
          <w:p w:rsidR="002A7E23" w:rsidRPr="00AF3E13" w:rsidRDefault="002A7E23" w:rsidP="00FB0A05">
            <w:pPr>
              <w:jc w:val="center"/>
              <w:rPr>
                <w:sz w:val="24"/>
                <w:szCs w:val="20"/>
              </w:rPr>
            </w:pPr>
            <w:r>
              <w:rPr>
                <w:sz w:val="24"/>
                <w:szCs w:val="20"/>
              </w:rPr>
              <w:t>END</w:t>
            </w:r>
            <w:r w:rsidRPr="00AF3E13">
              <w:rPr>
                <w:sz w:val="24"/>
                <w:szCs w:val="20"/>
              </w:rPr>
              <w:t>2030</w:t>
            </w:r>
          </w:p>
        </w:tc>
        <w:tc>
          <w:tcPr>
            <w:tcW w:w="4282" w:type="dxa"/>
            <w:gridSpan w:val="2"/>
          </w:tcPr>
          <w:p w:rsidR="002A7E23" w:rsidRPr="00AF3E13" w:rsidRDefault="002A7E23" w:rsidP="00FB0A05">
            <w:pPr>
              <w:jc w:val="center"/>
              <w:rPr>
                <w:sz w:val="24"/>
                <w:szCs w:val="20"/>
              </w:rPr>
            </w:pPr>
            <w:r w:rsidRPr="00AF3E13">
              <w:rPr>
                <w:sz w:val="24"/>
                <w:szCs w:val="20"/>
              </w:rPr>
              <w:t>PEI 2024</w:t>
            </w:r>
          </w:p>
        </w:tc>
      </w:tr>
      <w:tr w:rsidR="00A72B3E" w:rsidRPr="00665613" w:rsidTr="00A72B3E">
        <w:tblPrEx>
          <w:tblLook w:val="04A0"/>
        </w:tblPrEx>
        <w:trPr>
          <w:jc w:val="center"/>
        </w:trPr>
        <w:tc>
          <w:tcPr>
            <w:tcW w:w="2263" w:type="dxa"/>
          </w:tcPr>
          <w:p w:rsidR="002A7E23" w:rsidRDefault="002A7E23" w:rsidP="00FB0A05">
            <w:pPr>
              <w:jc w:val="center"/>
              <w:rPr>
                <w:sz w:val="24"/>
                <w:szCs w:val="20"/>
              </w:rPr>
            </w:pPr>
            <w:r>
              <w:rPr>
                <w:sz w:val="24"/>
                <w:szCs w:val="20"/>
              </w:rPr>
              <w:t>Eje Estratégico</w:t>
            </w:r>
          </w:p>
        </w:tc>
        <w:tc>
          <w:tcPr>
            <w:tcW w:w="2127" w:type="dxa"/>
            <w:tcBorders>
              <w:bottom w:val="single" w:sz="4" w:space="0" w:color="auto"/>
            </w:tcBorders>
          </w:tcPr>
          <w:p w:rsidR="002A7E23" w:rsidRPr="00665613" w:rsidRDefault="002A7E23" w:rsidP="00FB0A05">
            <w:pPr>
              <w:jc w:val="center"/>
              <w:rPr>
                <w:sz w:val="24"/>
                <w:szCs w:val="20"/>
              </w:rPr>
            </w:pPr>
            <w:r>
              <w:rPr>
                <w:sz w:val="24"/>
                <w:szCs w:val="20"/>
              </w:rPr>
              <w:t>Objetivo General</w:t>
            </w:r>
          </w:p>
        </w:tc>
        <w:tc>
          <w:tcPr>
            <w:tcW w:w="2126" w:type="dxa"/>
            <w:tcBorders>
              <w:bottom w:val="single" w:sz="4" w:space="0" w:color="auto"/>
            </w:tcBorders>
          </w:tcPr>
          <w:p w:rsidR="002A7E23" w:rsidRPr="00665613" w:rsidRDefault="002A7E23" w:rsidP="00FB0A05">
            <w:pPr>
              <w:jc w:val="center"/>
              <w:rPr>
                <w:sz w:val="24"/>
                <w:szCs w:val="20"/>
              </w:rPr>
            </w:pPr>
            <w:r w:rsidRPr="00665613">
              <w:rPr>
                <w:sz w:val="24"/>
                <w:szCs w:val="20"/>
              </w:rPr>
              <w:t>Objetivo</w:t>
            </w:r>
            <w:r>
              <w:rPr>
                <w:sz w:val="24"/>
                <w:szCs w:val="20"/>
              </w:rPr>
              <w:t xml:space="preserve"> Específico</w:t>
            </w:r>
          </w:p>
        </w:tc>
        <w:tc>
          <w:tcPr>
            <w:tcW w:w="2238" w:type="dxa"/>
          </w:tcPr>
          <w:p w:rsidR="002A7E23" w:rsidRPr="00665613" w:rsidRDefault="002A7E23" w:rsidP="00FB0A05">
            <w:pPr>
              <w:jc w:val="center"/>
              <w:rPr>
                <w:sz w:val="24"/>
                <w:szCs w:val="20"/>
              </w:rPr>
            </w:pPr>
            <w:r>
              <w:rPr>
                <w:sz w:val="24"/>
                <w:szCs w:val="20"/>
              </w:rPr>
              <w:t>Línea de Acción</w:t>
            </w:r>
          </w:p>
        </w:tc>
        <w:tc>
          <w:tcPr>
            <w:tcW w:w="1950" w:type="dxa"/>
          </w:tcPr>
          <w:p w:rsidR="002A7E23" w:rsidRPr="00665613" w:rsidRDefault="002A7E23" w:rsidP="00FB0A05">
            <w:pPr>
              <w:jc w:val="center"/>
              <w:rPr>
                <w:sz w:val="24"/>
                <w:szCs w:val="20"/>
              </w:rPr>
            </w:pPr>
            <w:r>
              <w:rPr>
                <w:sz w:val="24"/>
                <w:szCs w:val="20"/>
              </w:rPr>
              <w:t>Objetivo Estratégico</w:t>
            </w:r>
          </w:p>
        </w:tc>
        <w:tc>
          <w:tcPr>
            <w:tcW w:w="2332" w:type="dxa"/>
          </w:tcPr>
          <w:p w:rsidR="002A7E23" w:rsidRPr="00665613" w:rsidRDefault="002A7E23" w:rsidP="00FB0A05">
            <w:pPr>
              <w:jc w:val="center"/>
              <w:rPr>
                <w:sz w:val="24"/>
                <w:szCs w:val="20"/>
              </w:rPr>
            </w:pPr>
            <w:r>
              <w:rPr>
                <w:sz w:val="24"/>
                <w:szCs w:val="20"/>
              </w:rPr>
              <w:t>Resultado Esperado</w:t>
            </w:r>
          </w:p>
        </w:tc>
      </w:tr>
      <w:tr w:rsidR="00A72B3E" w:rsidRPr="00A72B3E" w:rsidTr="00A72B3E">
        <w:tblPrEx>
          <w:tblLook w:val="04A0"/>
        </w:tblPrEx>
        <w:trPr>
          <w:trHeight w:val="4810"/>
          <w:jc w:val="center"/>
        </w:trPr>
        <w:tc>
          <w:tcPr>
            <w:tcW w:w="2263" w:type="dxa"/>
            <w:vMerge w:val="restart"/>
          </w:tcPr>
          <w:p w:rsidR="00A72B3E" w:rsidRDefault="00A72B3E" w:rsidP="00367F17">
            <w:pPr>
              <w:rPr>
                <w:b w:val="0"/>
                <w:bCs/>
                <w:sz w:val="24"/>
                <w:szCs w:val="24"/>
              </w:rPr>
            </w:pPr>
          </w:p>
          <w:p w:rsidR="00A72B3E" w:rsidRDefault="00A72B3E" w:rsidP="00367F17">
            <w:pPr>
              <w:rPr>
                <w:b w:val="0"/>
                <w:bCs/>
                <w:sz w:val="24"/>
                <w:szCs w:val="24"/>
              </w:rPr>
            </w:pPr>
          </w:p>
          <w:p w:rsidR="00A72B3E" w:rsidRDefault="00A72B3E" w:rsidP="00367F17">
            <w:pPr>
              <w:rPr>
                <w:b w:val="0"/>
                <w:bCs/>
                <w:sz w:val="24"/>
                <w:szCs w:val="24"/>
              </w:rPr>
            </w:pPr>
          </w:p>
          <w:p w:rsidR="00A72B3E" w:rsidRDefault="00A72B3E" w:rsidP="00367F17">
            <w:pPr>
              <w:rPr>
                <w:b w:val="0"/>
                <w:bCs/>
                <w:sz w:val="24"/>
                <w:szCs w:val="24"/>
              </w:rPr>
            </w:pPr>
          </w:p>
          <w:p w:rsidR="00A72B3E" w:rsidRDefault="00A72B3E" w:rsidP="00367F17">
            <w:pPr>
              <w:rPr>
                <w:b w:val="0"/>
                <w:bCs/>
                <w:sz w:val="24"/>
                <w:szCs w:val="24"/>
              </w:rPr>
            </w:pPr>
          </w:p>
          <w:p w:rsidR="00A72B3E" w:rsidRPr="00A72B3E" w:rsidRDefault="00A72B3E" w:rsidP="00367F17">
            <w:pPr>
              <w:rPr>
                <w:b w:val="0"/>
                <w:bCs/>
                <w:sz w:val="24"/>
                <w:szCs w:val="24"/>
              </w:rPr>
            </w:pPr>
            <w:r w:rsidRPr="00A72B3E">
              <w:rPr>
                <w:b w:val="0"/>
                <w:bCs/>
                <w:sz w:val="24"/>
                <w:szCs w:val="24"/>
              </w:rPr>
              <w:t xml:space="preserve">Tercer Eje: </w:t>
            </w:r>
          </w:p>
          <w:p w:rsidR="00A72B3E" w:rsidRPr="00A72B3E" w:rsidRDefault="00A72B3E" w:rsidP="00367F17">
            <w:pPr>
              <w:rPr>
                <w:b w:val="0"/>
                <w:bCs/>
                <w:sz w:val="24"/>
                <w:szCs w:val="24"/>
              </w:rPr>
            </w:pPr>
            <w:r w:rsidRPr="00A72B3E">
              <w:rPr>
                <w:b w:val="0"/>
                <w:bCs/>
                <w:sz w:val="24"/>
                <w:szCs w:val="24"/>
              </w:rPr>
              <w:t>“Una economía territorial y sectorialmente integrada, innovadora,</w:t>
            </w:r>
          </w:p>
          <w:p w:rsidR="00A72B3E" w:rsidRPr="00A72B3E" w:rsidRDefault="00A72B3E" w:rsidP="00367F17">
            <w:pPr>
              <w:rPr>
                <w:b w:val="0"/>
                <w:bCs/>
                <w:sz w:val="24"/>
                <w:szCs w:val="24"/>
              </w:rPr>
            </w:pPr>
            <w:r w:rsidRPr="00A72B3E">
              <w:rPr>
                <w:b w:val="0"/>
                <w:bCs/>
                <w:sz w:val="24"/>
                <w:szCs w:val="24"/>
              </w:rPr>
              <w:t>diversificada, plural, orientada a la calidad y ambientalmente sostenible, que crea y</w:t>
            </w:r>
          </w:p>
          <w:p w:rsidR="00A72B3E" w:rsidRPr="00A72B3E" w:rsidRDefault="00A72B3E" w:rsidP="00367F17">
            <w:pPr>
              <w:rPr>
                <w:b w:val="0"/>
                <w:bCs/>
                <w:sz w:val="24"/>
                <w:szCs w:val="24"/>
              </w:rPr>
            </w:pPr>
            <w:r w:rsidRPr="00A72B3E">
              <w:rPr>
                <w:b w:val="0"/>
                <w:bCs/>
                <w:sz w:val="24"/>
                <w:szCs w:val="24"/>
              </w:rPr>
              <w:t xml:space="preserve">desconcentra la riqueza, genera </w:t>
            </w:r>
            <w:r w:rsidRPr="00A72B3E">
              <w:rPr>
                <w:b w:val="0"/>
                <w:bCs/>
                <w:sz w:val="24"/>
                <w:szCs w:val="24"/>
              </w:rPr>
              <w:lastRenderedPageBreak/>
              <w:t>crecimiento alto y sostenido con equidad y empleo</w:t>
            </w:r>
          </w:p>
          <w:p w:rsidR="00A72B3E" w:rsidRPr="00A72B3E" w:rsidRDefault="00A72B3E" w:rsidP="00367F17">
            <w:pPr>
              <w:rPr>
                <w:b w:val="0"/>
                <w:bCs/>
                <w:sz w:val="24"/>
                <w:szCs w:val="24"/>
              </w:rPr>
            </w:pPr>
            <w:r w:rsidRPr="00A72B3E">
              <w:rPr>
                <w:b w:val="0"/>
                <w:bCs/>
                <w:sz w:val="24"/>
                <w:szCs w:val="24"/>
              </w:rPr>
              <w:t>digno, y que aprovecha y potencia las oportunidades del mercado local y se inserta</w:t>
            </w:r>
          </w:p>
          <w:p w:rsidR="00A72B3E" w:rsidRPr="00A72B3E" w:rsidRDefault="00A72B3E" w:rsidP="00367F17">
            <w:pPr>
              <w:rPr>
                <w:b w:val="0"/>
                <w:bCs/>
                <w:sz w:val="24"/>
                <w:szCs w:val="24"/>
              </w:rPr>
            </w:pPr>
            <w:r w:rsidRPr="00A72B3E">
              <w:rPr>
                <w:b w:val="0"/>
                <w:bCs/>
                <w:sz w:val="24"/>
                <w:szCs w:val="24"/>
              </w:rPr>
              <w:t>de forma competitiva en la economía global”.</w:t>
            </w:r>
          </w:p>
        </w:tc>
        <w:tc>
          <w:tcPr>
            <w:tcW w:w="2127" w:type="dxa"/>
            <w:vMerge w:val="restart"/>
            <w:tcBorders>
              <w:top w:val="single" w:sz="4" w:space="0" w:color="auto"/>
              <w:left w:val="single" w:sz="4" w:space="0" w:color="auto"/>
              <w:right w:val="single" w:sz="4" w:space="0" w:color="auto"/>
            </w:tcBorders>
            <w:shd w:val="clear" w:color="auto" w:fill="auto"/>
            <w:vAlign w:val="center"/>
          </w:tcPr>
          <w:p w:rsidR="00A72B3E" w:rsidRDefault="00A72B3E" w:rsidP="00367F17">
            <w:pPr>
              <w:rPr>
                <w:b w:val="0"/>
                <w:bCs/>
                <w:sz w:val="24"/>
                <w:szCs w:val="24"/>
              </w:rPr>
            </w:pPr>
          </w:p>
          <w:p w:rsidR="00A72B3E" w:rsidRDefault="00A72B3E" w:rsidP="00367F17">
            <w:pPr>
              <w:rPr>
                <w:b w:val="0"/>
                <w:bCs/>
                <w:sz w:val="24"/>
                <w:szCs w:val="24"/>
              </w:rPr>
            </w:pPr>
          </w:p>
          <w:p w:rsidR="00A72B3E" w:rsidRDefault="00A72B3E" w:rsidP="00367F17">
            <w:pPr>
              <w:rPr>
                <w:b w:val="0"/>
                <w:bCs/>
                <w:sz w:val="24"/>
                <w:szCs w:val="24"/>
              </w:rPr>
            </w:pPr>
          </w:p>
          <w:p w:rsidR="00A72B3E" w:rsidRDefault="00A72B3E" w:rsidP="00367F17">
            <w:pPr>
              <w:rPr>
                <w:b w:val="0"/>
                <w:bCs/>
                <w:sz w:val="24"/>
                <w:szCs w:val="24"/>
              </w:rPr>
            </w:pPr>
            <w:r w:rsidRPr="00A72B3E">
              <w:rPr>
                <w:b w:val="0"/>
                <w:bCs/>
                <w:sz w:val="24"/>
                <w:szCs w:val="24"/>
              </w:rPr>
              <w:t>Objetivo General 3.5</w:t>
            </w:r>
            <w:r>
              <w:rPr>
                <w:b w:val="0"/>
                <w:bCs/>
                <w:sz w:val="24"/>
                <w:szCs w:val="24"/>
              </w:rPr>
              <w:t>:</w:t>
            </w:r>
            <w:r w:rsidRPr="00A72B3E">
              <w:rPr>
                <w:b w:val="0"/>
                <w:bCs/>
                <w:sz w:val="24"/>
                <w:szCs w:val="24"/>
              </w:rPr>
              <w:br/>
              <w:t>Estructura productiva sectorial y territorialmente articulada, integrada competitivamente a la economía global y que aprovecha las oportunidades del mercado local.</w:t>
            </w:r>
          </w:p>
          <w:p w:rsidR="00A72B3E" w:rsidRDefault="00A72B3E" w:rsidP="00367F17">
            <w:pPr>
              <w:rPr>
                <w:b w:val="0"/>
                <w:bCs/>
                <w:sz w:val="24"/>
                <w:szCs w:val="24"/>
              </w:rPr>
            </w:pPr>
          </w:p>
          <w:p w:rsidR="00A72B3E" w:rsidRDefault="00A72B3E" w:rsidP="00367F17">
            <w:pPr>
              <w:rPr>
                <w:b w:val="0"/>
                <w:bCs/>
                <w:sz w:val="24"/>
                <w:szCs w:val="24"/>
              </w:rPr>
            </w:pPr>
          </w:p>
          <w:p w:rsidR="00A72B3E" w:rsidRDefault="00A72B3E" w:rsidP="00367F17">
            <w:pPr>
              <w:rPr>
                <w:b w:val="0"/>
                <w:bCs/>
                <w:sz w:val="24"/>
                <w:szCs w:val="24"/>
              </w:rPr>
            </w:pPr>
          </w:p>
          <w:p w:rsidR="00A72B3E" w:rsidRDefault="00A72B3E" w:rsidP="00367F17">
            <w:pPr>
              <w:rPr>
                <w:b w:val="0"/>
                <w:bCs/>
                <w:sz w:val="24"/>
                <w:szCs w:val="24"/>
              </w:rPr>
            </w:pPr>
          </w:p>
          <w:p w:rsidR="00A72B3E" w:rsidRDefault="00A72B3E" w:rsidP="00367F17">
            <w:pPr>
              <w:rPr>
                <w:b w:val="0"/>
                <w:bCs/>
                <w:sz w:val="24"/>
                <w:szCs w:val="24"/>
              </w:rPr>
            </w:pPr>
          </w:p>
          <w:p w:rsidR="00A72B3E" w:rsidRDefault="00A72B3E" w:rsidP="00367F17">
            <w:pPr>
              <w:rPr>
                <w:b w:val="0"/>
                <w:bCs/>
                <w:sz w:val="24"/>
                <w:szCs w:val="24"/>
              </w:rPr>
            </w:pPr>
          </w:p>
          <w:p w:rsidR="00A72B3E" w:rsidRDefault="00A72B3E" w:rsidP="00367F17">
            <w:pPr>
              <w:rPr>
                <w:b w:val="0"/>
                <w:bCs/>
                <w:sz w:val="24"/>
                <w:szCs w:val="24"/>
              </w:rPr>
            </w:pPr>
          </w:p>
          <w:p w:rsidR="00A72B3E" w:rsidRPr="00A72B3E" w:rsidRDefault="00A72B3E" w:rsidP="00367F17">
            <w:pPr>
              <w:rPr>
                <w:b w:val="0"/>
                <w:bCs/>
                <w:sz w:val="24"/>
                <w:szCs w:val="24"/>
              </w:rPr>
            </w:pPr>
            <w:r w:rsidRPr="00A72B3E">
              <w:rPr>
                <w:b w:val="0"/>
                <w:bCs/>
                <w:sz w:val="24"/>
                <w:szCs w:val="24"/>
              </w:rPr>
              <w:t>Objetivo General 3.5</w:t>
            </w:r>
            <w:r>
              <w:rPr>
                <w:b w:val="0"/>
                <w:bCs/>
                <w:sz w:val="24"/>
                <w:szCs w:val="24"/>
              </w:rPr>
              <w:t>:</w:t>
            </w:r>
            <w:r w:rsidRPr="00A72B3E">
              <w:rPr>
                <w:b w:val="0"/>
                <w:bCs/>
                <w:sz w:val="24"/>
                <w:szCs w:val="24"/>
              </w:rPr>
              <w:br/>
              <w:t>Estructura productiva sectorial y territorialmente articulada, integrada competitivamente a la economía global y que aprovecha las oportunidades del mercado local.</w:t>
            </w:r>
          </w:p>
        </w:tc>
        <w:tc>
          <w:tcPr>
            <w:tcW w:w="2126" w:type="dxa"/>
            <w:vMerge w:val="restart"/>
            <w:tcBorders>
              <w:top w:val="single" w:sz="4" w:space="0" w:color="auto"/>
              <w:left w:val="nil"/>
              <w:bottom w:val="nil"/>
              <w:right w:val="single" w:sz="4" w:space="0" w:color="auto"/>
            </w:tcBorders>
            <w:shd w:val="clear" w:color="auto" w:fill="auto"/>
            <w:vAlign w:val="center"/>
          </w:tcPr>
          <w:p w:rsidR="00A72B3E" w:rsidRDefault="00A72B3E" w:rsidP="00367F17">
            <w:pPr>
              <w:rPr>
                <w:rFonts w:cs="Calibri"/>
                <w:b w:val="0"/>
                <w:bCs/>
                <w:color w:val="000000"/>
                <w:sz w:val="24"/>
                <w:szCs w:val="24"/>
              </w:rPr>
            </w:pPr>
          </w:p>
          <w:p w:rsidR="00A72B3E" w:rsidRDefault="00A72B3E" w:rsidP="00367F17">
            <w:pPr>
              <w:rPr>
                <w:rFonts w:cs="Calibri"/>
                <w:b w:val="0"/>
                <w:bCs/>
                <w:color w:val="000000"/>
                <w:sz w:val="24"/>
                <w:szCs w:val="24"/>
              </w:rPr>
            </w:pPr>
          </w:p>
          <w:p w:rsidR="00A72B3E" w:rsidRDefault="00A72B3E" w:rsidP="00367F17">
            <w:pPr>
              <w:rPr>
                <w:rFonts w:cs="Calibri"/>
                <w:b w:val="0"/>
                <w:bCs/>
                <w:color w:val="000000"/>
                <w:sz w:val="24"/>
                <w:szCs w:val="24"/>
              </w:rPr>
            </w:pPr>
          </w:p>
          <w:p w:rsidR="00A72B3E" w:rsidRDefault="00A72B3E" w:rsidP="00367F17">
            <w:pPr>
              <w:rPr>
                <w:rFonts w:cs="Calibri"/>
                <w:b w:val="0"/>
                <w:bCs/>
                <w:color w:val="000000"/>
                <w:sz w:val="24"/>
                <w:szCs w:val="24"/>
              </w:rPr>
            </w:pPr>
          </w:p>
          <w:p w:rsidR="00A72B3E" w:rsidRDefault="00A72B3E" w:rsidP="00367F17">
            <w:pPr>
              <w:rPr>
                <w:rFonts w:cs="Calibri"/>
                <w:b w:val="0"/>
                <w:bCs/>
                <w:color w:val="000000"/>
                <w:sz w:val="24"/>
                <w:szCs w:val="24"/>
              </w:rPr>
            </w:pPr>
          </w:p>
          <w:p w:rsidR="00A72B3E" w:rsidRDefault="00A72B3E" w:rsidP="00367F17">
            <w:pPr>
              <w:rPr>
                <w:rFonts w:cs="Calibri"/>
                <w:b w:val="0"/>
                <w:bCs/>
                <w:color w:val="000000"/>
                <w:sz w:val="24"/>
                <w:szCs w:val="24"/>
              </w:rPr>
            </w:pPr>
          </w:p>
          <w:p w:rsidR="00A72B3E" w:rsidRDefault="00A72B3E" w:rsidP="00367F17">
            <w:pPr>
              <w:rPr>
                <w:rFonts w:cs="Calibri"/>
                <w:b w:val="0"/>
                <w:bCs/>
                <w:color w:val="000000"/>
                <w:sz w:val="24"/>
                <w:szCs w:val="24"/>
              </w:rPr>
            </w:pPr>
          </w:p>
          <w:p w:rsidR="00A72B3E" w:rsidRDefault="00A72B3E" w:rsidP="00367F17">
            <w:pPr>
              <w:rPr>
                <w:rFonts w:cs="Calibri"/>
                <w:b w:val="0"/>
                <w:bCs/>
                <w:color w:val="000000"/>
                <w:sz w:val="24"/>
                <w:szCs w:val="24"/>
              </w:rPr>
            </w:pPr>
            <w:r>
              <w:rPr>
                <w:rFonts w:cs="Calibri"/>
                <w:b w:val="0"/>
                <w:bCs/>
                <w:color w:val="000000"/>
                <w:sz w:val="24"/>
                <w:szCs w:val="24"/>
              </w:rPr>
              <w:t xml:space="preserve">Objetivo Especifico </w:t>
            </w:r>
            <w:r w:rsidRPr="00A72B3E">
              <w:rPr>
                <w:rFonts w:cs="Calibri"/>
                <w:b w:val="0"/>
                <w:bCs/>
                <w:color w:val="000000"/>
                <w:sz w:val="24"/>
                <w:szCs w:val="24"/>
              </w:rPr>
              <w:t>3.5.3</w:t>
            </w:r>
            <w:r>
              <w:rPr>
                <w:rFonts w:cs="Calibri"/>
                <w:b w:val="0"/>
                <w:bCs/>
                <w:color w:val="000000"/>
                <w:sz w:val="24"/>
                <w:szCs w:val="24"/>
              </w:rPr>
              <w:t>:</w:t>
            </w:r>
            <w:r w:rsidRPr="00A72B3E">
              <w:rPr>
                <w:rFonts w:cs="Calibri"/>
                <w:b w:val="0"/>
                <w:bCs/>
                <w:color w:val="000000"/>
                <w:sz w:val="24"/>
                <w:szCs w:val="24"/>
              </w:rPr>
              <w:t xml:space="preserve"> Elevar la productividad, competitividad y sostenibilidad ambiental y financiera de las cadenas agroproductivas, a fin de contribuir a la seguridad</w:t>
            </w:r>
            <w:r w:rsidRPr="00A72B3E">
              <w:rPr>
                <w:rFonts w:cs="Calibri"/>
                <w:b w:val="0"/>
                <w:bCs/>
                <w:color w:val="000000"/>
                <w:sz w:val="24"/>
                <w:szCs w:val="24"/>
              </w:rPr>
              <w:br/>
            </w:r>
            <w:r w:rsidRPr="00A72B3E">
              <w:rPr>
                <w:rFonts w:cs="Calibri"/>
                <w:b w:val="0"/>
                <w:bCs/>
                <w:color w:val="000000"/>
                <w:sz w:val="24"/>
                <w:szCs w:val="24"/>
              </w:rPr>
              <w:lastRenderedPageBreak/>
              <w:t>alimentaria, aprovechar el potencial exportador y generar empleo e ingresos para la población rural.</w:t>
            </w:r>
          </w:p>
          <w:p w:rsidR="00A72B3E" w:rsidRDefault="00A72B3E" w:rsidP="00367F17">
            <w:pPr>
              <w:rPr>
                <w:rFonts w:cs="Calibri"/>
                <w:b w:val="0"/>
                <w:bCs/>
                <w:color w:val="000000"/>
                <w:sz w:val="24"/>
                <w:szCs w:val="24"/>
              </w:rPr>
            </w:pPr>
          </w:p>
          <w:p w:rsidR="00A72B3E" w:rsidRDefault="00A72B3E" w:rsidP="00367F17">
            <w:pPr>
              <w:rPr>
                <w:rFonts w:cs="Calibri"/>
                <w:b w:val="0"/>
                <w:bCs/>
                <w:color w:val="000000"/>
                <w:sz w:val="24"/>
                <w:szCs w:val="24"/>
              </w:rPr>
            </w:pPr>
          </w:p>
          <w:p w:rsidR="00A72B3E" w:rsidRDefault="00A72B3E" w:rsidP="00367F17">
            <w:pPr>
              <w:rPr>
                <w:rFonts w:cs="Calibri"/>
                <w:b w:val="0"/>
                <w:bCs/>
                <w:color w:val="000000"/>
                <w:sz w:val="24"/>
                <w:szCs w:val="24"/>
              </w:rPr>
            </w:pPr>
          </w:p>
          <w:p w:rsidR="00A72B3E" w:rsidRPr="00A72B3E" w:rsidRDefault="00A72B3E" w:rsidP="00A72B3E">
            <w:pPr>
              <w:rPr>
                <w:b w:val="0"/>
                <w:bCs/>
                <w:sz w:val="24"/>
                <w:szCs w:val="24"/>
              </w:rPr>
            </w:pPr>
          </w:p>
        </w:tc>
        <w:tc>
          <w:tcPr>
            <w:tcW w:w="2238" w:type="dxa"/>
            <w:tcBorders>
              <w:top w:val="single" w:sz="4" w:space="0" w:color="auto"/>
              <w:left w:val="nil"/>
              <w:bottom w:val="single" w:sz="4" w:space="0" w:color="auto"/>
              <w:right w:val="single" w:sz="4" w:space="0" w:color="auto"/>
            </w:tcBorders>
            <w:shd w:val="clear" w:color="auto" w:fill="auto"/>
            <w:vAlign w:val="center"/>
          </w:tcPr>
          <w:p w:rsidR="00A72B3E" w:rsidRPr="00A72B3E" w:rsidRDefault="00A72B3E" w:rsidP="00367F17">
            <w:pPr>
              <w:rPr>
                <w:rFonts w:cs="Calibri"/>
                <w:b w:val="0"/>
                <w:bCs/>
                <w:color w:val="000000"/>
                <w:sz w:val="24"/>
                <w:szCs w:val="24"/>
              </w:rPr>
            </w:pPr>
            <w:r>
              <w:rPr>
                <w:rFonts w:cs="Calibri"/>
                <w:b w:val="0"/>
                <w:bCs/>
                <w:color w:val="000000"/>
                <w:sz w:val="24"/>
                <w:szCs w:val="24"/>
              </w:rPr>
              <w:lastRenderedPageBreak/>
              <w:t xml:space="preserve">Línea de Acción </w:t>
            </w:r>
            <w:r w:rsidRPr="00A72B3E">
              <w:rPr>
                <w:rFonts w:cs="Calibri"/>
                <w:b w:val="0"/>
                <w:bCs/>
                <w:color w:val="000000"/>
                <w:sz w:val="24"/>
                <w:szCs w:val="24"/>
              </w:rPr>
              <w:t>3.5.3.11</w:t>
            </w:r>
            <w:r>
              <w:rPr>
                <w:rFonts w:cs="Calibri"/>
                <w:b w:val="0"/>
                <w:bCs/>
                <w:color w:val="000000"/>
                <w:sz w:val="24"/>
                <w:szCs w:val="24"/>
              </w:rPr>
              <w:t>:</w:t>
            </w:r>
            <w:r w:rsidRPr="00A72B3E">
              <w:rPr>
                <w:rFonts w:cs="Calibri"/>
                <w:b w:val="0"/>
                <w:bCs/>
                <w:color w:val="000000"/>
                <w:sz w:val="24"/>
                <w:szCs w:val="24"/>
              </w:rPr>
              <w:t xml:space="preserve"> Desarrollar un sistema de apoyo a las exportaciones de productos agropecuarios y forestales en los principales mercados de destino, que provea información y capacitación, sobre sus requerimientos y brinde protección frente a malas prácticas.</w:t>
            </w:r>
          </w:p>
        </w:tc>
        <w:tc>
          <w:tcPr>
            <w:tcW w:w="1950" w:type="dxa"/>
            <w:vMerge w:val="restart"/>
          </w:tcPr>
          <w:p w:rsidR="00A72B3E" w:rsidRDefault="00A72B3E" w:rsidP="00367F17">
            <w:pPr>
              <w:rPr>
                <w:b w:val="0"/>
                <w:bCs/>
                <w:sz w:val="24"/>
                <w:szCs w:val="24"/>
              </w:rPr>
            </w:pPr>
          </w:p>
          <w:p w:rsidR="00A72B3E" w:rsidRDefault="00A72B3E" w:rsidP="00367F17">
            <w:pPr>
              <w:rPr>
                <w:b w:val="0"/>
                <w:bCs/>
                <w:sz w:val="24"/>
                <w:szCs w:val="24"/>
              </w:rPr>
            </w:pPr>
          </w:p>
          <w:p w:rsidR="00A72B3E" w:rsidRDefault="00A72B3E" w:rsidP="00367F17">
            <w:pPr>
              <w:rPr>
                <w:b w:val="0"/>
                <w:bCs/>
                <w:sz w:val="24"/>
                <w:szCs w:val="24"/>
              </w:rPr>
            </w:pPr>
          </w:p>
          <w:p w:rsidR="00A72B3E" w:rsidRDefault="00A72B3E" w:rsidP="00367F17">
            <w:pPr>
              <w:rPr>
                <w:b w:val="0"/>
                <w:bCs/>
                <w:sz w:val="24"/>
                <w:szCs w:val="24"/>
              </w:rPr>
            </w:pPr>
          </w:p>
          <w:p w:rsidR="00A72B3E" w:rsidRDefault="00A72B3E" w:rsidP="00367F17">
            <w:pPr>
              <w:rPr>
                <w:b w:val="0"/>
                <w:bCs/>
                <w:sz w:val="24"/>
                <w:szCs w:val="24"/>
              </w:rPr>
            </w:pPr>
          </w:p>
          <w:p w:rsidR="00A72B3E" w:rsidRDefault="00A72B3E" w:rsidP="00367F17">
            <w:pPr>
              <w:rPr>
                <w:b w:val="0"/>
                <w:bCs/>
                <w:sz w:val="24"/>
                <w:szCs w:val="24"/>
              </w:rPr>
            </w:pPr>
          </w:p>
          <w:p w:rsidR="00A72B3E" w:rsidRDefault="00A72B3E" w:rsidP="00367F17">
            <w:pPr>
              <w:rPr>
                <w:b w:val="0"/>
                <w:bCs/>
                <w:sz w:val="24"/>
                <w:szCs w:val="24"/>
              </w:rPr>
            </w:pPr>
          </w:p>
          <w:p w:rsidR="00A72B3E" w:rsidRDefault="00A72B3E" w:rsidP="00367F17">
            <w:pPr>
              <w:rPr>
                <w:b w:val="0"/>
                <w:bCs/>
                <w:sz w:val="24"/>
                <w:szCs w:val="24"/>
              </w:rPr>
            </w:pPr>
            <w:r w:rsidRPr="00A72B3E">
              <w:rPr>
                <w:b w:val="0"/>
                <w:bCs/>
                <w:sz w:val="24"/>
                <w:szCs w:val="24"/>
              </w:rPr>
              <w:t>OE1: Fortalecer la regulación y vigilancia de la política azucarera a nivel nacional.</w:t>
            </w:r>
          </w:p>
          <w:p w:rsidR="00A72B3E" w:rsidRDefault="00A72B3E" w:rsidP="00367F17">
            <w:pPr>
              <w:rPr>
                <w:b w:val="0"/>
                <w:bCs/>
                <w:sz w:val="24"/>
                <w:szCs w:val="24"/>
              </w:rPr>
            </w:pPr>
          </w:p>
          <w:p w:rsidR="00A72B3E" w:rsidRDefault="00A72B3E" w:rsidP="00367F17">
            <w:pPr>
              <w:rPr>
                <w:b w:val="0"/>
                <w:bCs/>
                <w:sz w:val="24"/>
                <w:szCs w:val="24"/>
              </w:rPr>
            </w:pPr>
          </w:p>
          <w:p w:rsidR="00A72B3E" w:rsidRDefault="00A72B3E" w:rsidP="00367F17">
            <w:pPr>
              <w:rPr>
                <w:b w:val="0"/>
                <w:bCs/>
                <w:sz w:val="24"/>
                <w:szCs w:val="24"/>
              </w:rPr>
            </w:pPr>
          </w:p>
          <w:p w:rsidR="00A72B3E" w:rsidRDefault="00A72B3E" w:rsidP="00367F17">
            <w:pPr>
              <w:rPr>
                <w:b w:val="0"/>
                <w:bCs/>
                <w:sz w:val="24"/>
                <w:szCs w:val="24"/>
              </w:rPr>
            </w:pPr>
          </w:p>
          <w:p w:rsidR="00A72B3E" w:rsidRDefault="00A72B3E" w:rsidP="00367F17">
            <w:pPr>
              <w:rPr>
                <w:b w:val="0"/>
                <w:bCs/>
                <w:sz w:val="24"/>
                <w:szCs w:val="24"/>
              </w:rPr>
            </w:pPr>
          </w:p>
          <w:p w:rsidR="00A72B3E" w:rsidRDefault="00A72B3E" w:rsidP="00367F17">
            <w:pPr>
              <w:rPr>
                <w:b w:val="0"/>
                <w:bCs/>
                <w:sz w:val="24"/>
                <w:szCs w:val="24"/>
              </w:rPr>
            </w:pPr>
          </w:p>
          <w:p w:rsidR="00A72B3E" w:rsidRDefault="00A72B3E" w:rsidP="00367F17">
            <w:pPr>
              <w:rPr>
                <w:b w:val="0"/>
                <w:bCs/>
                <w:sz w:val="24"/>
                <w:szCs w:val="24"/>
              </w:rPr>
            </w:pPr>
          </w:p>
          <w:p w:rsidR="00A72B3E" w:rsidRDefault="00A72B3E" w:rsidP="00367F17">
            <w:pPr>
              <w:rPr>
                <w:b w:val="0"/>
                <w:bCs/>
                <w:sz w:val="24"/>
                <w:szCs w:val="24"/>
              </w:rPr>
            </w:pPr>
          </w:p>
          <w:p w:rsidR="00A72B3E" w:rsidRDefault="00A72B3E" w:rsidP="00367F17">
            <w:pPr>
              <w:rPr>
                <w:b w:val="0"/>
                <w:bCs/>
                <w:sz w:val="24"/>
                <w:szCs w:val="24"/>
              </w:rPr>
            </w:pPr>
          </w:p>
          <w:p w:rsidR="00A72B3E" w:rsidRDefault="00A72B3E" w:rsidP="00367F17">
            <w:pPr>
              <w:rPr>
                <w:b w:val="0"/>
                <w:bCs/>
                <w:sz w:val="24"/>
                <w:szCs w:val="24"/>
              </w:rPr>
            </w:pPr>
          </w:p>
          <w:p w:rsidR="00A72B3E" w:rsidRDefault="00A72B3E" w:rsidP="00367F17">
            <w:pPr>
              <w:rPr>
                <w:b w:val="0"/>
                <w:bCs/>
                <w:sz w:val="24"/>
                <w:szCs w:val="24"/>
              </w:rPr>
            </w:pPr>
          </w:p>
          <w:p w:rsidR="00A72B3E" w:rsidRDefault="00A72B3E" w:rsidP="00367F17">
            <w:pPr>
              <w:rPr>
                <w:b w:val="0"/>
                <w:bCs/>
                <w:sz w:val="24"/>
                <w:szCs w:val="24"/>
              </w:rPr>
            </w:pPr>
          </w:p>
          <w:p w:rsidR="00A72B3E" w:rsidRPr="00A72B3E" w:rsidRDefault="00A72B3E" w:rsidP="00367F17">
            <w:pPr>
              <w:rPr>
                <w:b w:val="0"/>
                <w:bCs/>
                <w:sz w:val="24"/>
                <w:szCs w:val="24"/>
              </w:rPr>
            </w:pPr>
            <w:r w:rsidRPr="00A72B3E">
              <w:rPr>
                <w:b w:val="0"/>
                <w:bCs/>
                <w:sz w:val="24"/>
                <w:szCs w:val="24"/>
              </w:rPr>
              <w:t>OE1: Fortalecer la regulación y vigilancia de la política azucarera a nivel nacional.</w:t>
            </w:r>
          </w:p>
        </w:tc>
        <w:tc>
          <w:tcPr>
            <w:tcW w:w="2332" w:type="dxa"/>
            <w:vMerge w:val="restart"/>
          </w:tcPr>
          <w:p w:rsidR="00A72B3E" w:rsidRDefault="00A72B3E" w:rsidP="00367F17">
            <w:pPr>
              <w:rPr>
                <w:b w:val="0"/>
                <w:bCs/>
                <w:sz w:val="24"/>
                <w:szCs w:val="24"/>
              </w:rPr>
            </w:pPr>
            <w:r w:rsidRPr="00A72B3E">
              <w:rPr>
                <w:b w:val="0"/>
                <w:bCs/>
                <w:sz w:val="24"/>
                <w:szCs w:val="24"/>
              </w:rPr>
              <w:lastRenderedPageBreak/>
              <w:t>RE1: Mejorada la regulación técnica del sector azucarero dominicano, en lo relativo a la producción, consumo sostenible y exportación del azúcar y los demás derivados de la caña.</w:t>
            </w:r>
          </w:p>
          <w:p w:rsidR="00A72B3E" w:rsidRDefault="00A72B3E" w:rsidP="00367F17">
            <w:pPr>
              <w:rPr>
                <w:b w:val="0"/>
                <w:bCs/>
                <w:sz w:val="24"/>
                <w:szCs w:val="24"/>
              </w:rPr>
            </w:pPr>
          </w:p>
          <w:p w:rsidR="00A72B3E" w:rsidRDefault="00A72B3E" w:rsidP="00367F17">
            <w:pPr>
              <w:rPr>
                <w:b w:val="0"/>
                <w:bCs/>
                <w:sz w:val="24"/>
                <w:szCs w:val="24"/>
              </w:rPr>
            </w:pPr>
          </w:p>
          <w:p w:rsidR="00A72B3E" w:rsidRDefault="00A72B3E" w:rsidP="00367F17">
            <w:pPr>
              <w:rPr>
                <w:b w:val="0"/>
                <w:bCs/>
                <w:sz w:val="24"/>
                <w:szCs w:val="24"/>
              </w:rPr>
            </w:pPr>
          </w:p>
          <w:p w:rsidR="00A72B3E" w:rsidRDefault="00A72B3E" w:rsidP="00367F17">
            <w:pPr>
              <w:rPr>
                <w:b w:val="0"/>
                <w:bCs/>
                <w:sz w:val="24"/>
                <w:szCs w:val="24"/>
              </w:rPr>
            </w:pPr>
          </w:p>
          <w:p w:rsidR="00A72B3E" w:rsidRDefault="00A72B3E" w:rsidP="00367F17">
            <w:pPr>
              <w:rPr>
                <w:b w:val="0"/>
                <w:bCs/>
                <w:sz w:val="24"/>
                <w:szCs w:val="24"/>
              </w:rPr>
            </w:pPr>
          </w:p>
          <w:p w:rsidR="00A72B3E" w:rsidRDefault="00A72B3E" w:rsidP="00367F17">
            <w:pPr>
              <w:rPr>
                <w:b w:val="0"/>
                <w:bCs/>
                <w:sz w:val="24"/>
                <w:szCs w:val="24"/>
              </w:rPr>
            </w:pPr>
          </w:p>
          <w:p w:rsidR="00A72B3E" w:rsidRDefault="00A72B3E" w:rsidP="00367F17">
            <w:pPr>
              <w:rPr>
                <w:b w:val="0"/>
                <w:bCs/>
                <w:sz w:val="24"/>
                <w:szCs w:val="24"/>
              </w:rPr>
            </w:pPr>
          </w:p>
          <w:p w:rsidR="00A72B3E" w:rsidRDefault="00A72B3E" w:rsidP="00367F17">
            <w:pPr>
              <w:rPr>
                <w:b w:val="0"/>
                <w:bCs/>
                <w:sz w:val="24"/>
                <w:szCs w:val="24"/>
              </w:rPr>
            </w:pPr>
          </w:p>
          <w:p w:rsidR="00A72B3E" w:rsidRDefault="00A72B3E" w:rsidP="00367F17">
            <w:pPr>
              <w:rPr>
                <w:b w:val="0"/>
                <w:bCs/>
                <w:sz w:val="24"/>
                <w:szCs w:val="24"/>
              </w:rPr>
            </w:pPr>
          </w:p>
          <w:p w:rsidR="00A72B3E" w:rsidRDefault="00A72B3E" w:rsidP="00367F17">
            <w:pPr>
              <w:rPr>
                <w:b w:val="0"/>
                <w:bCs/>
                <w:sz w:val="24"/>
                <w:szCs w:val="24"/>
              </w:rPr>
            </w:pPr>
          </w:p>
          <w:p w:rsidR="00A72B3E" w:rsidRDefault="00A72B3E" w:rsidP="00367F17">
            <w:pPr>
              <w:rPr>
                <w:b w:val="0"/>
                <w:bCs/>
                <w:sz w:val="24"/>
                <w:szCs w:val="24"/>
              </w:rPr>
            </w:pPr>
          </w:p>
          <w:p w:rsidR="00A72B3E" w:rsidRDefault="00A72B3E" w:rsidP="00367F17">
            <w:pPr>
              <w:rPr>
                <w:b w:val="0"/>
                <w:bCs/>
                <w:sz w:val="24"/>
                <w:szCs w:val="24"/>
              </w:rPr>
            </w:pPr>
            <w:r w:rsidRPr="00A72B3E">
              <w:rPr>
                <w:b w:val="0"/>
                <w:bCs/>
                <w:sz w:val="24"/>
                <w:szCs w:val="24"/>
              </w:rPr>
              <w:t>RE1: Mejorada la regulación técnica del sector azucarero dominicano, en lo relativo a la producción, consumo sostenible y exportación del azúcar y los demás derivados de la caña.</w:t>
            </w:r>
          </w:p>
          <w:p w:rsidR="00A72B3E" w:rsidRPr="00A72B3E" w:rsidRDefault="00A72B3E" w:rsidP="00367F17">
            <w:pPr>
              <w:rPr>
                <w:b w:val="0"/>
                <w:bCs/>
                <w:sz w:val="24"/>
                <w:szCs w:val="24"/>
              </w:rPr>
            </w:pPr>
          </w:p>
        </w:tc>
      </w:tr>
      <w:tr w:rsidR="00A72B3E" w:rsidRPr="00A72B3E" w:rsidTr="00A72B3E">
        <w:tblPrEx>
          <w:tblLook w:val="04A0"/>
        </w:tblPrEx>
        <w:trPr>
          <w:jc w:val="center"/>
        </w:trPr>
        <w:tc>
          <w:tcPr>
            <w:tcW w:w="2263" w:type="dxa"/>
            <w:vMerge/>
          </w:tcPr>
          <w:p w:rsidR="00A72B3E" w:rsidRPr="00A72B3E" w:rsidRDefault="00A72B3E" w:rsidP="00367F17">
            <w:pPr>
              <w:rPr>
                <w:b w:val="0"/>
                <w:bCs/>
                <w:sz w:val="24"/>
                <w:szCs w:val="24"/>
              </w:rPr>
            </w:pPr>
          </w:p>
        </w:tc>
        <w:tc>
          <w:tcPr>
            <w:tcW w:w="2127" w:type="dxa"/>
            <w:vMerge/>
            <w:tcBorders>
              <w:left w:val="single" w:sz="4" w:space="0" w:color="auto"/>
              <w:right w:val="single" w:sz="4" w:space="0" w:color="auto"/>
            </w:tcBorders>
            <w:shd w:val="clear" w:color="auto" w:fill="auto"/>
            <w:vAlign w:val="center"/>
          </w:tcPr>
          <w:p w:rsidR="00A72B3E" w:rsidRPr="00A72B3E" w:rsidRDefault="00A72B3E" w:rsidP="00367F17">
            <w:pPr>
              <w:rPr>
                <w:rFonts w:cs="Calibri"/>
                <w:b w:val="0"/>
                <w:bCs/>
                <w:color w:val="000000"/>
                <w:sz w:val="24"/>
                <w:szCs w:val="24"/>
              </w:rPr>
            </w:pPr>
          </w:p>
        </w:tc>
        <w:tc>
          <w:tcPr>
            <w:tcW w:w="2126" w:type="dxa"/>
            <w:vMerge/>
            <w:tcBorders>
              <w:left w:val="nil"/>
              <w:bottom w:val="nil"/>
              <w:right w:val="single" w:sz="4" w:space="0" w:color="auto"/>
            </w:tcBorders>
            <w:shd w:val="clear" w:color="auto" w:fill="auto"/>
            <w:vAlign w:val="center"/>
          </w:tcPr>
          <w:p w:rsidR="00A72B3E" w:rsidRPr="00A72B3E" w:rsidRDefault="00A72B3E" w:rsidP="00367F17">
            <w:pPr>
              <w:rPr>
                <w:rFonts w:cs="Calibri"/>
                <w:b w:val="0"/>
                <w:bCs/>
                <w:color w:val="000000"/>
                <w:sz w:val="24"/>
                <w:szCs w:val="24"/>
              </w:rPr>
            </w:pPr>
          </w:p>
        </w:tc>
        <w:tc>
          <w:tcPr>
            <w:tcW w:w="2238" w:type="dxa"/>
            <w:tcBorders>
              <w:top w:val="single" w:sz="4" w:space="0" w:color="auto"/>
              <w:left w:val="nil"/>
              <w:bottom w:val="single" w:sz="4" w:space="0" w:color="auto"/>
              <w:right w:val="single" w:sz="4" w:space="0" w:color="auto"/>
            </w:tcBorders>
            <w:shd w:val="clear" w:color="auto" w:fill="auto"/>
            <w:vAlign w:val="center"/>
          </w:tcPr>
          <w:p w:rsidR="00A72B3E" w:rsidRPr="00A72B3E" w:rsidRDefault="00A72B3E" w:rsidP="00367F17">
            <w:pPr>
              <w:rPr>
                <w:rFonts w:cs="Calibri"/>
                <w:b w:val="0"/>
                <w:bCs/>
                <w:color w:val="000000"/>
                <w:sz w:val="24"/>
                <w:szCs w:val="24"/>
              </w:rPr>
            </w:pPr>
            <w:r w:rsidRPr="00A72B3E">
              <w:rPr>
                <w:rFonts w:cs="Calibri"/>
                <w:b w:val="0"/>
                <w:bCs/>
                <w:color w:val="000000"/>
                <w:sz w:val="24"/>
                <w:szCs w:val="24"/>
              </w:rPr>
              <w:t xml:space="preserve">Línea de Acción </w:t>
            </w:r>
            <w:r w:rsidRPr="00A72B3E">
              <w:rPr>
                <w:rFonts w:cs="Calibri"/>
                <w:b w:val="0"/>
                <w:bCs/>
                <w:color w:val="000000"/>
                <w:sz w:val="24"/>
                <w:szCs w:val="24"/>
              </w:rPr>
              <w:lastRenderedPageBreak/>
              <w:t>3.5.3.15</w:t>
            </w:r>
            <w:r>
              <w:rPr>
                <w:rFonts w:cs="Calibri"/>
                <w:b w:val="0"/>
                <w:bCs/>
                <w:color w:val="000000"/>
                <w:sz w:val="24"/>
                <w:szCs w:val="24"/>
              </w:rPr>
              <w:t>:</w:t>
            </w:r>
            <w:r w:rsidRPr="00A72B3E">
              <w:rPr>
                <w:rFonts w:cs="Calibri"/>
                <w:b w:val="0"/>
                <w:bCs/>
                <w:color w:val="000000"/>
                <w:sz w:val="24"/>
                <w:szCs w:val="24"/>
              </w:rPr>
              <w:t xml:space="preserve"> Impulsar, mediante la difusión de las mejores prácticas de cultivo, el incremento de la productividad y la oferta en los rubros agropecuarios con mayor aporte a la seguridad alimentaria y a la adecuada nutrición de la población dominicana.</w:t>
            </w:r>
          </w:p>
        </w:tc>
        <w:tc>
          <w:tcPr>
            <w:tcW w:w="1950" w:type="dxa"/>
            <w:vMerge/>
          </w:tcPr>
          <w:p w:rsidR="00A72B3E" w:rsidRPr="00A72B3E" w:rsidRDefault="00A72B3E" w:rsidP="00367F17">
            <w:pPr>
              <w:rPr>
                <w:b w:val="0"/>
                <w:bCs/>
                <w:sz w:val="24"/>
                <w:szCs w:val="24"/>
              </w:rPr>
            </w:pPr>
          </w:p>
        </w:tc>
        <w:tc>
          <w:tcPr>
            <w:tcW w:w="2332" w:type="dxa"/>
            <w:vMerge/>
          </w:tcPr>
          <w:p w:rsidR="00A72B3E" w:rsidRPr="00A72B3E" w:rsidRDefault="00A72B3E" w:rsidP="00367F17">
            <w:pPr>
              <w:rPr>
                <w:b w:val="0"/>
                <w:bCs/>
                <w:sz w:val="24"/>
                <w:szCs w:val="24"/>
              </w:rPr>
            </w:pPr>
          </w:p>
        </w:tc>
      </w:tr>
      <w:tr w:rsidR="00A72B3E" w:rsidRPr="00A72B3E" w:rsidTr="00A72B3E">
        <w:tblPrEx>
          <w:tblLook w:val="04A0"/>
        </w:tblPrEx>
        <w:trPr>
          <w:jc w:val="center"/>
        </w:trPr>
        <w:tc>
          <w:tcPr>
            <w:tcW w:w="2263" w:type="dxa"/>
            <w:vMerge/>
          </w:tcPr>
          <w:p w:rsidR="00A72B3E" w:rsidRPr="00A72B3E" w:rsidRDefault="00A72B3E" w:rsidP="00A72B3E">
            <w:pPr>
              <w:rPr>
                <w:b w:val="0"/>
                <w:bCs/>
                <w:sz w:val="24"/>
                <w:szCs w:val="24"/>
              </w:rPr>
            </w:pPr>
          </w:p>
        </w:tc>
        <w:tc>
          <w:tcPr>
            <w:tcW w:w="2127" w:type="dxa"/>
            <w:vMerge/>
            <w:tcBorders>
              <w:left w:val="single" w:sz="4" w:space="0" w:color="auto"/>
              <w:bottom w:val="single" w:sz="4" w:space="0" w:color="auto"/>
              <w:right w:val="single" w:sz="4" w:space="0" w:color="auto"/>
            </w:tcBorders>
            <w:shd w:val="clear" w:color="auto" w:fill="auto"/>
            <w:vAlign w:val="center"/>
          </w:tcPr>
          <w:p w:rsidR="00A72B3E" w:rsidRPr="00A72B3E" w:rsidRDefault="00A72B3E" w:rsidP="00A72B3E">
            <w:pPr>
              <w:rPr>
                <w:b w:val="0"/>
                <w:bCs/>
                <w:sz w:val="24"/>
                <w:szCs w:val="24"/>
              </w:rPr>
            </w:pPr>
          </w:p>
        </w:tc>
        <w:tc>
          <w:tcPr>
            <w:tcW w:w="2126" w:type="dxa"/>
            <w:tcBorders>
              <w:top w:val="nil"/>
              <w:left w:val="nil"/>
              <w:bottom w:val="single" w:sz="4" w:space="0" w:color="auto"/>
              <w:right w:val="single" w:sz="4" w:space="0" w:color="auto"/>
            </w:tcBorders>
            <w:shd w:val="clear" w:color="auto" w:fill="auto"/>
            <w:vAlign w:val="center"/>
          </w:tcPr>
          <w:p w:rsidR="00A72B3E" w:rsidRPr="00A72B3E" w:rsidRDefault="00A72B3E" w:rsidP="00A72B3E">
            <w:pPr>
              <w:rPr>
                <w:b w:val="0"/>
                <w:bCs/>
                <w:sz w:val="24"/>
                <w:szCs w:val="24"/>
              </w:rPr>
            </w:pPr>
          </w:p>
        </w:tc>
        <w:tc>
          <w:tcPr>
            <w:tcW w:w="2238" w:type="dxa"/>
            <w:tcBorders>
              <w:top w:val="single" w:sz="4" w:space="0" w:color="auto"/>
              <w:left w:val="nil"/>
              <w:bottom w:val="single" w:sz="4" w:space="0" w:color="auto"/>
              <w:right w:val="single" w:sz="4" w:space="0" w:color="auto"/>
            </w:tcBorders>
            <w:shd w:val="clear" w:color="auto" w:fill="auto"/>
            <w:vAlign w:val="center"/>
          </w:tcPr>
          <w:p w:rsidR="00A72B3E" w:rsidRPr="00A72B3E" w:rsidRDefault="00A72B3E" w:rsidP="00A72B3E">
            <w:pPr>
              <w:rPr>
                <w:b w:val="0"/>
                <w:bCs/>
                <w:sz w:val="24"/>
                <w:szCs w:val="24"/>
              </w:rPr>
            </w:pPr>
            <w:r>
              <w:rPr>
                <w:rFonts w:cs="Calibri"/>
                <w:b w:val="0"/>
                <w:bCs/>
                <w:color w:val="000000"/>
                <w:sz w:val="24"/>
                <w:szCs w:val="24"/>
              </w:rPr>
              <w:t xml:space="preserve">Línea de Acción </w:t>
            </w:r>
            <w:r w:rsidRPr="00A72B3E">
              <w:rPr>
                <w:rFonts w:cs="Calibri"/>
                <w:b w:val="0"/>
                <w:bCs/>
                <w:color w:val="000000"/>
                <w:sz w:val="24"/>
                <w:szCs w:val="24"/>
              </w:rPr>
              <w:t>3.5.3.1</w:t>
            </w:r>
            <w:r>
              <w:rPr>
                <w:rFonts w:cs="Calibri"/>
                <w:b w:val="0"/>
                <w:bCs/>
                <w:color w:val="000000"/>
                <w:sz w:val="24"/>
                <w:szCs w:val="24"/>
              </w:rPr>
              <w:t>:</w:t>
            </w:r>
            <w:r w:rsidRPr="00A72B3E">
              <w:rPr>
                <w:rFonts w:cs="Calibri"/>
                <w:b w:val="0"/>
                <w:bCs/>
                <w:color w:val="000000"/>
                <w:sz w:val="24"/>
                <w:szCs w:val="24"/>
              </w:rPr>
              <w:t xml:space="preserve"> Reformar la institucionalidad del sector agropecuario y forestal, con visión</w:t>
            </w:r>
            <w:r w:rsidRPr="00A72B3E">
              <w:rPr>
                <w:rFonts w:cs="Calibri"/>
                <w:b w:val="0"/>
                <w:bCs/>
                <w:color w:val="000000"/>
                <w:sz w:val="24"/>
                <w:szCs w:val="24"/>
              </w:rPr>
              <w:br/>
              <w:t>sistémica, para impulsar la transformación productiva y la inserción competitiva en</w:t>
            </w:r>
            <w:r w:rsidRPr="00A72B3E">
              <w:rPr>
                <w:rFonts w:cs="Calibri"/>
                <w:b w:val="0"/>
                <w:bCs/>
                <w:color w:val="000000"/>
                <w:sz w:val="24"/>
                <w:szCs w:val="24"/>
              </w:rPr>
              <w:br/>
              <w:t>los mercados locales y externos.</w:t>
            </w:r>
          </w:p>
        </w:tc>
        <w:tc>
          <w:tcPr>
            <w:tcW w:w="1950" w:type="dxa"/>
          </w:tcPr>
          <w:p w:rsidR="00A72B3E" w:rsidRPr="00A72B3E" w:rsidRDefault="0061418E" w:rsidP="00A72B3E">
            <w:pPr>
              <w:rPr>
                <w:b w:val="0"/>
                <w:bCs/>
                <w:sz w:val="24"/>
                <w:szCs w:val="24"/>
              </w:rPr>
            </w:pPr>
            <w:r w:rsidRPr="0061418E">
              <w:rPr>
                <w:b w:val="0"/>
                <w:bCs/>
                <w:sz w:val="24"/>
                <w:szCs w:val="24"/>
              </w:rPr>
              <w:t>OE2: Mejorar la calidad de la gestión institucional del INAZUCAR, conforme al marco legal de la Administración Pública.</w:t>
            </w:r>
          </w:p>
        </w:tc>
        <w:tc>
          <w:tcPr>
            <w:tcW w:w="2332" w:type="dxa"/>
          </w:tcPr>
          <w:p w:rsidR="00A72B3E" w:rsidRPr="00A72B3E" w:rsidRDefault="00A72B3E" w:rsidP="00A72B3E">
            <w:pPr>
              <w:rPr>
                <w:b w:val="0"/>
                <w:bCs/>
                <w:sz w:val="24"/>
                <w:szCs w:val="24"/>
              </w:rPr>
            </w:pPr>
            <w:r w:rsidRPr="00A72B3E">
              <w:rPr>
                <w:b w:val="0"/>
                <w:bCs/>
                <w:sz w:val="24"/>
                <w:szCs w:val="24"/>
              </w:rPr>
              <w:t>RE2: Fortalecidas las capacidades de gestión técnica, administrativa y logística del INAZUCAR.</w:t>
            </w:r>
          </w:p>
        </w:tc>
      </w:tr>
      <w:bookmarkEnd w:id="25"/>
    </w:tbl>
    <w:p w:rsidR="0048638A" w:rsidRDefault="0048638A" w:rsidP="003E7B3E">
      <w:pPr>
        <w:tabs>
          <w:tab w:val="left" w:pos="8876"/>
        </w:tabs>
        <w:spacing w:after="0" w:line="360" w:lineRule="auto"/>
        <w:rPr>
          <w:sz w:val="24"/>
          <w:szCs w:val="20"/>
        </w:rPr>
      </w:pPr>
    </w:p>
    <w:p w:rsidR="003E7B3E" w:rsidRDefault="003E7B3E" w:rsidP="003E7B3E">
      <w:pPr>
        <w:tabs>
          <w:tab w:val="left" w:pos="8876"/>
        </w:tabs>
        <w:spacing w:after="0" w:line="360" w:lineRule="auto"/>
        <w:rPr>
          <w:sz w:val="24"/>
          <w:szCs w:val="20"/>
        </w:rPr>
      </w:pPr>
    </w:p>
    <w:p w:rsidR="003E7B3E" w:rsidRDefault="003E7B3E" w:rsidP="003E7B3E">
      <w:pPr>
        <w:tabs>
          <w:tab w:val="left" w:pos="8876"/>
        </w:tabs>
        <w:spacing w:after="0" w:line="360" w:lineRule="auto"/>
        <w:rPr>
          <w:sz w:val="24"/>
          <w:szCs w:val="20"/>
        </w:rPr>
      </w:pPr>
    </w:p>
    <w:p w:rsidR="0048638A" w:rsidRDefault="0048638A" w:rsidP="00E47275">
      <w:pPr>
        <w:pStyle w:val="Ttulo1"/>
        <w:numPr>
          <w:ilvl w:val="1"/>
          <w:numId w:val="23"/>
        </w:numPr>
      </w:pPr>
      <w:bookmarkStart w:id="26" w:name="_Toc80090951"/>
      <w:bookmarkStart w:id="27" w:name="_Toc80177696"/>
      <w:r>
        <w:lastRenderedPageBreak/>
        <w:t>Vinculación con el Plan Nacional Plurianual del Sector Público 2020-2024 (PNPSP 2024)</w:t>
      </w:r>
      <w:bookmarkEnd w:id="26"/>
      <w:bookmarkEnd w:id="27"/>
    </w:p>
    <w:p w:rsidR="0048638A" w:rsidRPr="0048638A" w:rsidRDefault="0048638A" w:rsidP="0048638A">
      <w:pPr>
        <w:spacing w:after="0" w:line="360" w:lineRule="auto"/>
        <w:rPr>
          <w:sz w:val="24"/>
          <w:szCs w:val="20"/>
        </w:rPr>
      </w:pPr>
    </w:p>
    <w:tbl>
      <w:tblPr>
        <w:tblStyle w:val="Tablaconcuadrcula"/>
        <w:tblW w:w="13036" w:type="dxa"/>
        <w:jc w:val="center"/>
        <w:tblLook w:val="0000"/>
      </w:tblPr>
      <w:tblGrid>
        <w:gridCol w:w="1980"/>
        <w:gridCol w:w="1984"/>
        <w:gridCol w:w="2694"/>
        <w:gridCol w:w="3118"/>
        <w:gridCol w:w="3260"/>
      </w:tblGrid>
      <w:tr w:rsidR="0048638A" w:rsidTr="00FB0A05">
        <w:trPr>
          <w:trHeight w:val="315"/>
          <w:jc w:val="center"/>
        </w:trPr>
        <w:tc>
          <w:tcPr>
            <w:tcW w:w="13036" w:type="dxa"/>
            <w:gridSpan w:val="5"/>
          </w:tcPr>
          <w:p w:rsidR="0048638A" w:rsidRDefault="0048638A" w:rsidP="00FB0A05">
            <w:pPr>
              <w:jc w:val="center"/>
              <w:rPr>
                <w:sz w:val="24"/>
                <w:szCs w:val="20"/>
              </w:rPr>
            </w:pPr>
            <w:r>
              <w:rPr>
                <w:sz w:val="24"/>
                <w:szCs w:val="20"/>
              </w:rPr>
              <w:t>Tabla No. III: Vinculación entre el PEI 2024 y el PNPSP 2024</w:t>
            </w:r>
          </w:p>
        </w:tc>
      </w:tr>
      <w:tr w:rsidR="0048638A" w:rsidRPr="00AF3E13" w:rsidTr="0048638A">
        <w:tblPrEx>
          <w:tblLook w:val="04A0"/>
        </w:tblPrEx>
        <w:trPr>
          <w:jc w:val="center"/>
        </w:trPr>
        <w:tc>
          <w:tcPr>
            <w:tcW w:w="6658" w:type="dxa"/>
            <w:gridSpan w:val="3"/>
          </w:tcPr>
          <w:p w:rsidR="0048638A" w:rsidRPr="00AF3E13" w:rsidRDefault="0048638A" w:rsidP="00FB0A05">
            <w:pPr>
              <w:jc w:val="center"/>
              <w:rPr>
                <w:sz w:val="24"/>
                <w:szCs w:val="20"/>
              </w:rPr>
            </w:pPr>
            <w:r w:rsidRPr="0048638A">
              <w:rPr>
                <w:sz w:val="24"/>
                <w:szCs w:val="20"/>
              </w:rPr>
              <w:t>PNPSP 2024</w:t>
            </w:r>
          </w:p>
        </w:tc>
        <w:tc>
          <w:tcPr>
            <w:tcW w:w="6378" w:type="dxa"/>
            <w:gridSpan w:val="2"/>
          </w:tcPr>
          <w:p w:rsidR="0048638A" w:rsidRPr="00AF3E13" w:rsidRDefault="0048638A" w:rsidP="00FB0A05">
            <w:pPr>
              <w:jc w:val="center"/>
              <w:rPr>
                <w:sz w:val="24"/>
                <w:szCs w:val="20"/>
              </w:rPr>
            </w:pPr>
            <w:r w:rsidRPr="00AF3E13">
              <w:rPr>
                <w:sz w:val="24"/>
                <w:szCs w:val="20"/>
              </w:rPr>
              <w:t>PEI 2024</w:t>
            </w:r>
          </w:p>
        </w:tc>
      </w:tr>
      <w:tr w:rsidR="0048638A" w:rsidRPr="00665613" w:rsidTr="0048638A">
        <w:tblPrEx>
          <w:tblLook w:val="04A0"/>
        </w:tblPrEx>
        <w:trPr>
          <w:jc w:val="center"/>
        </w:trPr>
        <w:tc>
          <w:tcPr>
            <w:tcW w:w="1980" w:type="dxa"/>
          </w:tcPr>
          <w:p w:rsidR="0048638A" w:rsidRDefault="0048638A" w:rsidP="00FB0A05">
            <w:pPr>
              <w:jc w:val="center"/>
              <w:rPr>
                <w:sz w:val="24"/>
                <w:szCs w:val="20"/>
              </w:rPr>
            </w:pPr>
            <w:r>
              <w:rPr>
                <w:sz w:val="24"/>
                <w:szCs w:val="20"/>
              </w:rPr>
              <w:t>Política de Gobierno</w:t>
            </w:r>
          </w:p>
        </w:tc>
        <w:tc>
          <w:tcPr>
            <w:tcW w:w="1984" w:type="dxa"/>
          </w:tcPr>
          <w:p w:rsidR="0048638A" w:rsidRPr="00665613" w:rsidRDefault="0048638A" w:rsidP="00FB0A05">
            <w:pPr>
              <w:jc w:val="center"/>
              <w:rPr>
                <w:sz w:val="24"/>
                <w:szCs w:val="20"/>
              </w:rPr>
            </w:pPr>
            <w:r>
              <w:rPr>
                <w:sz w:val="24"/>
                <w:szCs w:val="20"/>
              </w:rPr>
              <w:t xml:space="preserve">Impacto de la Política </w:t>
            </w:r>
          </w:p>
        </w:tc>
        <w:tc>
          <w:tcPr>
            <w:tcW w:w="2694" w:type="dxa"/>
          </w:tcPr>
          <w:p w:rsidR="0048638A" w:rsidRPr="00665613" w:rsidRDefault="0048638A" w:rsidP="00FB0A05">
            <w:pPr>
              <w:jc w:val="center"/>
              <w:rPr>
                <w:sz w:val="24"/>
                <w:szCs w:val="20"/>
              </w:rPr>
            </w:pPr>
            <w:r>
              <w:rPr>
                <w:sz w:val="24"/>
                <w:szCs w:val="20"/>
              </w:rPr>
              <w:t>Resultado Esperado</w:t>
            </w:r>
          </w:p>
        </w:tc>
        <w:tc>
          <w:tcPr>
            <w:tcW w:w="3118" w:type="dxa"/>
          </w:tcPr>
          <w:p w:rsidR="0048638A" w:rsidRPr="00665613" w:rsidRDefault="0048638A" w:rsidP="00FB0A05">
            <w:pPr>
              <w:jc w:val="center"/>
              <w:rPr>
                <w:sz w:val="24"/>
                <w:szCs w:val="20"/>
              </w:rPr>
            </w:pPr>
            <w:r>
              <w:rPr>
                <w:sz w:val="24"/>
                <w:szCs w:val="20"/>
              </w:rPr>
              <w:t>Objetivo Estratégico</w:t>
            </w:r>
          </w:p>
        </w:tc>
        <w:tc>
          <w:tcPr>
            <w:tcW w:w="3260" w:type="dxa"/>
          </w:tcPr>
          <w:p w:rsidR="0048638A" w:rsidRPr="00665613" w:rsidRDefault="0048638A" w:rsidP="00FB0A05">
            <w:pPr>
              <w:jc w:val="center"/>
              <w:rPr>
                <w:sz w:val="24"/>
                <w:szCs w:val="20"/>
              </w:rPr>
            </w:pPr>
            <w:r>
              <w:rPr>
                <w:sz w:val="24"/>
                <w:szCs w:val="20"/>
              </w:rPr>
              <w:t>Resultado Esperado</w:t>
            </w:r>
          </w:p>
        </w:tc>
      </w:tr>
      <w:tr w:rsidR="0048638A" w:rsidRPr="0048638A" w:rsidTr="0048638A">
        <w:tblPrEx>
          <w:tblLook w:val="04A0"/>
        </w:tblPrEx>
        <w:trPr>
          <w:jc w:val="center"/>
        </w:trPr>
        <w:tc>
          <w:tcPr>
            <w:tcW w:w="1980" w:type="dxa"/>
            <w:vMerge w:val="restart"/>
          </w:tcPr>
          <w:p w:rsidR="0048638A" w:rsidRPr="0048638A" w:rsidRDefault="0048638A" w:rsidP="0048638A">
            <w:pPr>
              <w:rPr>
                <w:b w:val="0"/>
                <w:bCs/>
                <w:sz w:val="24"/>
                <w:szCs w:val="20"/>
              </w:rPr>
            </w:pPr>
            <w:bookmarkStart w:id="28" w:name="_Hlk79674395"/>
            <w:r w:rsidRPr="0048638A">
              <w:rPr>
                <w:b w:val="0"/>
                <w:bCs/>
                <w:sz w:val="24"/>
                <w:szCs w:val="20"/>
              </w:rPr>
              <w:t>La población rural y el desarrollo agropecuario</w:t>
            </w:r>
          </w:p>
        </w:tc>
        <w:tc>
          <w:tcPr>
            <w:tcW w:w="1984" w:type="dxa"/>
            <w:vMerge w:val="restart"/>
          </w:tcPr>
          <w:p w:rsidR="0048638A" w:rsidRPr="0048638A" w:rsidRDefault="0048638A" w:rsidP="0048638A">
            <w:pPr>
              <w:rPr>
                <w:b w:val="0"/>
                <w:bCs/>
                <w:sz w:val="24"/>
                <w:szCs w:val="20"/>
              </w:rPr>
            </w:pPr>
            <w:r w:rsidRPr="0048638A">
              <w:rPr>
                <w:b w:val="0"/>
                <w:bCs/>
                <w:sz w:val="24"/>
                <w:szCs w:val="20"/>
              </w:rPr>
              <w:t>Mejorada la calidad de vida de la población rural y la productividad agropecuaria.</w:t>
            </w:r>
          </w:p>
        </w:tc>
        <w:tc>
          <w:tcPr>
            <w:tcW w:w="2694" w:type="dxa"/>
            <w:vMerge w:val="restart"/>
          </w:tcPr>
          <w:p w:rsidR="0048638A" w:rsidRPr="0048638A" w:rsidRDefault="0048638A" w:rsidP="0048638A">
            <w:pPr>
              <w:rPr>
                <w:b w:val="0"/>
                <w:bCs/>
                <w:sz w:val="24"/>
                <w:szCs w:val="20"/>
              </w:rPr>
            </w:pPr>
            <w:r w:rsidRPr="0048638A">
              <w:rPr>
                <w:b w:val="0"/>
                <w:bCs/>
                <w:sz w:val="24"/>
                <w:szCs w:val="20"/>
              </w:rPr>
              <w:t>Aumentada la competitividad y rentabilidad del sector agropecuario.</w:t>
            </w:r>
          </w:p>
        </w:tc>
        <w:tc>
          <w:tcPr>
            <w:tcW w:w="3118" w:type="dxa"/>
          </w:tcPr>
          <w:p w:rsidR="0048638A" w:rsidRPr="0048638A" w:rsidRDefault="0048638A" w:rsidP="0048638A">
            <w:pPr>
              <w:rPr>
                <w:b w:val="0"/>
                <w:bCs/>
                <w:sz w:val="24"/>
                <w:szCs w:val="20"/>
              </w:rPr>
            </w:pPr>
            <w:bookmarkStart w:id="29" w:name="_Hlk79673293"/>
            <w:r w:rsidRPr="0048638A">
              <w:rPr>
                <w:b w:val="0"/>
                <w:bCs/>
                <w:sz w:val="24"/>
                <w:szCs w:val="20"/>
              </w:rPr>
              <w:t>OE1: Fortalecer la regulación y vigilancia de la política azucarera a nivel nacional.</w:t>
            </w:r>
          </w:p>
          <w:bookmarkEnd w:id="29"/>
          <w:p w:rsidR="0048638A" w:rsidRPr="0048638A" w:rsidRDefault="0048638A" w:rsidP="0048638A">
            <w:pPr>
              <w:rPr>
                <w:b w:val="0"/>
                <w:bCs/>
                <w:sz w:val="24"/>
                <w:szCs w:val="20"/>
              </w:rPr>
            </w:pPr>
          </w:p>
          <w:p w:rsidR="0048638A" w:rsidRPr="0048638A" w:rsidRDefault="0048638A" w:rsidP="0048638A">
            <w:pPr>
              <w:rPr>
                <w:b w:val="0"/>
                <w:bCs/>
                <w:sz w:val="24"/>
                <w:szCs w:val="20"/>
              </w:rPr>
            </w:pPr>
          </w:p>
          <w:p w:rsidR="0048638A" w:rsidRPr="0048638A" w:rsidRDefault="0048638A" w:rsidP="0048638A">
            <w:pPr>
              <w:rPr>
                <w:b w:val="0"/>
                <w:bCs/>
                <w:sz w:val="24"/>
                <w:szCs w:val="20"/>
              </w:rPr>
            </w:pPr>
          </w:p>
        </w:tc>
        <w:tc>
          <w:tcPr>
            <w:tcW w:w="3260" w:type="dxa"/>
          </w:tcPr>
          <w:p w:rsidR="0048638A" w:rsidRPr="0048638A" w:rsidRDefault="0048638A" w:rsidP="0048638A">
            <w:pPr>
              <w:rPr>
                <w:b w:val="0"/>
                <w:bCs/>
                <w:sz w:val="24"/>
                <w:szCs w:val="20"/>
              </w:rPr>
            </w:pPr>
            <w:r w:rsidRPr="0048638A">
              <w:rPr>
                <w:b w:val="0"/>
                <w:bCs/>
                <w:sz w:val="24"/>
                <w:szCs w:val="20"/>
              </w:rPr>
              <w:t>RE1: Mejorada la regulación técnica del sector azucarero dominicano, en lo relativo a la producción, consumo sostenible y exportación del azúcar y los demás derivados de la caña</w:t>
            </w:r>
          </w:p>
        </w:tc>
      </w:tr>
      <w:tr w:rsidR="0048638A" w:rsidRPr="0048638A" w:rsidTr="0048638A">
        <w:tblPrEx>
          <w:tblLook w:val="04A0"/>
        </w:tblPrEx>
        <w:trPr>
          <w:jc w:val="center"/>
        </w:trPr>
        <w:tc>
          <w:tcPr>
            <w:tcW w:w="1980" w:type="dxa"/>
            <w:vMerge/>
          </w:tcPr>
          <w:p w:rsidR="0048638A" w:rsidRPr="0048638A" w:rsidRDefault="0048638A" w:rsidP="0048638A">
            <w:pPr>
              <w:rPr>
                <w:b w:val="0"/>
                <w:bCs/>
                <w:sz w:val="24"/>
                <w:szCs w:val="20"/>
              </w:rPr>
            </w:pPr>
          </w:p>
        </w:tc>
        <w:tc>
          <w:tcPr>
            <w:tcW w:w="1984" w:type="dxa"/>
            <w:vMerge/>
            <w:tcBorders>
              <w:bottom w:val="single" w:sz="4" w:space="0" w:color="auto"/>
            </w:tcBorders>
          </w:tcPr>
          <w:p w:rsidR="0048638A" w:rsidRPr="0048638A" w:rsidRDefault="0048638A" w:rsidP="0048638A">
            <w:pPr>
              <w:rPr>
                <w:b w:val="0"/>
                <w:bCs/>
                <w:sz w:val="24"/>
                <w:szCs w:val="20"/>
              </w:rPr>
            </w:pPr>
          </w:p>
        </w:tc>
        <w:tc>
          <w:tcPr>
            <w:tcW w:w="2694" w:type="dxa"/>
            <w:vMerge/>
            <w:tcBorders>
              <w:bottom w:val="single" w:sz="4" w:space="0" w:color="auto"/>
            </w:tcBorders>
          </w:tcPr>
          <w:p w:rsidR="0048638A" w:rsidRPr="0048638A" w:rsidRDefault="0048638A" w:rsidP="0048638A">
            <w:pPr>
              <w:rPr>
                <w:b w:val="0"/>
                <w:bCs/>
                <w:sz w:val="24"/>
                <w:szCs w:val="20"/>
              </w:rPr>
            </w:pPr>
          </w:p>
        </w:tc>
        <w:tc>
          <w:tcPr>
            <w:tcW w:w="3118" w:type="dxa"/>
          </w:tcPr>
          <w:p w:rsidR="0048638A" w:rsidRPr="0048638A" w:rsidRDefault="0061418E" w:rsidP="0048638A">
            <w:pPr>
              <w:rPr>
                <w:b w:val="0"/>
                <w:bCs/>
                <w:sz w:val="24"/>
                <w:szCs w:val="20"/>
              </w:rPr>
            </w:pPr>
            <w:r w:rsidRPr="0061418E">
              <w:rPr>
                <w:b w:val="0"/>
                <w:bCs/>
                <w:sz w:val="24"/>
                <w:szCs w:val="20"/>
              </w:rPr>
              <w:t>OE2: Mejorar la calidad de la gestión institucional del INAZUCAR, conforme al marco legal de la Administración Pública.</w:t>
            </w:r>
          </w:p>
        </w:tc>
        <w:tc>
          <w:tcPr>
            <w:tcW w:w="3260" w:type="dxa"/>
          </w:tcPr>
          <w:p w:rsidR="0048638A" w:rsidRPr="0048638A" w:rsidRDefault="0048638A" w:rsidP="0048638A">
            <w:pPr>
              <w:rPr>
                <w:b w:val="0"/>
                <w:bCs/>
                <w:sz w:val="24"/>
                <w:szCs w:val="20"/>
              </w:rPr>
            </w:pPr>
            <w:r w:rsidRPr="0048638A">
              <w:rPr>
                <w:b w:val="0"/>
                <w:bCs/>
                <w:sz w:val="24"/>
                <w:szCs w:val="20"/>
              </w:rPr>
              <w:t>RE2: Fortalecidas las capacidades de gestión técnica, administrativa y logística del INAZUCAR.</w:t>
            </w:r>
          </w:p>
        </w:tc>
      </w:tr>
      <w:bookmarkEnd w:id="28"/>
    </w:tbl>
    <w:p w:rsidR="0048638A" w:rsidRPr="0048638A" w:rsidRDefault="0048638A" w:rsidP="0048638A">
      <w:pPr>
        <w:sectPr w:rsidR="0048638A" w:rsidRPr="0048638A" w:rsidSect="002A7E23">
          <w:pgSz w:w="15840" w:h="12240" w:orient="landscape"/>
          <w:pgMar w:top="1440" w:right="1440" w:bottom="1440" w:left="1440" w:header="709" w:footer="709" w:gutter="0"/>
          <w:cols w:space="708"/>
          <w:docGrid w:linePitch="360"/>
        </w:sectPr>
      </w:pPr>
    </w:p>
    <w:p w:rsidR="00CE1C6F" w:rsidRDefault="00CE1C6F" w:rsidP="00E47275">
      <w:pPr>
        <w:pStyle w:val="Ttulo1"/>
      </w:pPr>
      <w:bookmarkStart w:id="30" w:name="_Toc80090952"/>
      <w:bookmarkStart w:id="31" w:name="_Toc80177697"/>
      <w:r>
        <w:lastRenderedPageBreak/>
        <w:t>MARCO FILOSÓFICO</w:t>
      </w:r>
      <w:bookmarkEnd w:id="30"/>
      <w:bookmarkEnd w:id="31"/>
    </w:p>
    <w:p w:rsidR="0048638A" w:rsidRPr="00C967C9" w:rsidRDefault="0048638A" w:rsidP="00C967C9">
      <w:pPr>
        <w:spacing w:after="0" w:line="360" w:lineRule="auto"/>
        <w:rPr>
          <w:b w:val="0"/>
          <w:bCs/>
          <w:sz w:val="24"/>
          <w:szCs w:val="20"/>
        </w:rPr>
      </w:pPr>
    </w:p>
    <w:p w:rsidR="0048638A" w:rsidRPr="00C967C9" w:rsidRDefault="0048638A" w:rsidP="00C967C9">
      <w:pPr>
        <w:spacing w:after="0" w:line="360" w:lineRule="auto"/>
        <w:rPr>
          <w:b w:val="0"/>
          <w:bCs/>
          <w:sz w:val="24"/>
          <w:szCs w:val="20"/>
        </w:rPr>
      </w:pPr>
      <w:r w:rsidRPr="00C967C9">
        <w:rPr>
          <w:b w:val="0"/>
          <w:bCs/>
          <w:sz w:val="24"/>
          <w:szCs w:val="20"/>
        </w:rPr>
        <w:t xml:space="preserve">El marco filosófico del PEI 2024 </w:t>
      </w:r>
      <w:r w:rsidR="00CE1C6F" w:rsidRPr="00C967C9">
        <w:rPr>
          <w:b w:val="0"/>
          <w:bCs/>
          <w:sz w:val="24"/>
          <w:szCs w:val="20"/>
        </w:rPr>
        <w:t>está</w:t>
      </w:r>
      <w:r w:rsidRPr="00C967C9">
        <w:rPr>
          <w:b w:val="0"/>
          <w:bCs/>
          <w:sz w:val="24"/>
          <w:szCs w:val="20"/>
        </w:rPr>
        <w:t xml:space="preserve"> determinado por la Misión Institucional, la Visión</w:t>
      </w:r>
      <w:r w:rsidR="00C967C9" w:rsidRPr="00C967C9">
        <w:rPr>
          <w:b w:val="0"/>
          <w:bCs/>
          <w:sz w:val="24"/>
          <w:szCs w:val="20"/>
        </w:rPr>
        <w:t xml:space="preserve"> de desarrollo de la organización y la escala de valores adoptados para la gestión. En ese</w:t>
      </w:r>
      <w:r w:rsidR="00CE1C6F">
        <w:rPr>
          <w:b w:val="0"/>
          <w:bCs/>
          <w:sz w:val="24"/>
          <w:szCs w:val="20"/>
        </w:rPr>
        <w:t xml:space="preserve"> sentido, a continuación, se presenta una descripción de </w:t>
      </w:r>
      <w:r w:rsidR="009D6F23">
        <w:rPr>
          <w:b w:val="0"/>
          <w:bCs/>
          <w:sz w:val="24"/>
          <w:szCs w:val="20"/>
        </w:rPr>
        <w:t>estos</w:t>
      </w:r>
      <w:r w:rsidR="00CE1C6F">
        <w:rPr>
          <w:b w:val="0"/>
          <w:bCs/>
          <w:sz w:val="24"/>
          <w:szCs w:val="20"/>
        </w:rPr>
        <w:t>.</w:t>
      </w:r>
    </w:p>
    <w:p w:rsidR="00C967C9" w:rsidRPr="00C967C9" w:rsidRDefault="00C967C9" w:rsidP="00C967C9">
      <w:pPr>
        <w:spacing w:after="0" w:line="360" w:lineRule="auto"/>
        <w:rPr>
          <w:b w:val="0"/>
          <w:bCs/>
          <w:sz w:val="24"/>
          <w:szCs w:val="20"/>
        </w:rPr>
      </w:pPr>
    </w:p>
    <w:p w:rsidR="00DB4AC1" w:rsidRDefault="00DB4AC1" w:rsidP="00E47275">
      <w:pPr>
        <w:pStyle w:val="Ttulo1"/>
        <w:numPr>
          <w:ilvl w:val="1"/>
          <w:numId w:val="28"/>
        </w:numPr>
      </w:pPr>
      <w:bookmarkStart w:id="32" w:name="_Toc80090953"/>
      <w:bookmarkStart w:id="33" w:name="_Toc80177698"/>
      <w:r>
        <w:t>Misión</w:t>
      </w:r>
      <w:bookmarkEnd w:id="32"/>
      <w:bookmarkEnd w:id="33"/>
    </w:p>
    <w:p w:rsidR="00CE1C6F" w:rsidRDefault="00CE1C6F" w:rsidP="00CE1C6F">
      <w:pPr>
        <w:spacing w:after="0" w:line="360" w:lineRule="auto"/>
        <w:rPr>
          <w:b w:val="0"/>
          <w:bCs/>
          <w:sz w:val="24"/>
          <w:szCs w:val="20"/>
        </w:rPr>
      </w:pPr>
    </w:p>
    <w:p w:rsidR="00CE1C6F" w:rsidRDefault="00CE1C6F" w:rsidP="00CE1C6F">
      <w:pPr>
        <w:spacing w:after="0" w:line="360" w:lineRule="auto"/>
        <w:rPr>
          <w:b w:val="0"/>
          <w:bCs/>
          <w:sz w:val="24"/>
          <w:szCs w:val="20"/>
        </w:rPr>
      </w:pPr>
      <w:r>
        <w:rPr>
          <w:b w:val="0"/>
          <w:bCs/>
          <w:sz w:val="24"/>
          <w:szCs w:val="20"/>
        </w:rPr>
        <w:t>Previo a describir la misión, es importante destacar que, aunque la institución contaba con un mandato legal, pero no con una misión. En el marco del proceso de planificación, se construyó el enunciado misional que se presenta a continuación.</w:t>
      </w:r>
    </w:p>
    <w:p w:rsidR="00CE1C6F" w:rsidRDefault="00CE1C6F" w:rsidP="00CE1C6F">
      <w:pPr>
        <w:spacing w:after="0" w:line="360" w:lineRule="auto"/>
        <w:rPr>
          <w:b w:val="0"/>
          <w:bCs/>
          <w:sz w:val="24"/>
          <w:szCs w:val="20"/>
        </w:rPr>
      </w:pPr>
    </w:p>
    <w:p w:rsidR="00CE1C6F" w:rsidRDefault="00495E81" w:rsidP="00495E81">
      <w:pPr>
        <w:spacing w:after="0" w:line="360" w:lineRule="auto"/>
        <w:rPr>
          <w:b w:val="0"/>
          <w:bCs/>
          <w:sz w:val="24"/>
          <w:szCs w:val="20"/>
        </w:rPr>
      </w:pPr>
      <w:bookmarkStart w:id="34" w:name="_Hlk79670109"/>
      <w:bookmarkStart w:id="35" w:name="_Hlk80093267"/>
      <w:r w:rsidRPr="00495E81">
        <w:rPr>
          <w:b w:val="0"/>
          <w:bCs/>
          <w:sz w:val="24"/>
          <w:szCs w:val="20"/>
        </w:rPr>
        <w:t>Contribuir con la seguridad y la soberanía alimentaria de la República Dominicana, así como también con la consolidación de una economía sostenible, por medio del ejercicio de la regulación técnica del sector azucarero; recomendando al Poder Ejecutivo las normas de la política azucarera nacional en todos sus aspectos; velando por el cumplimiento del marco normativo; colaborando con las relaciones internacionales en el marco de la producción y comercialización de productos derivados de la caña de azúcar.</w:t>
      </w:r>
      <w:bookmarkEnd w:id="34"/>
    </w:p>
    <w:bookmarkEnd w:id="35"/>
    <w:p w:rsidR="00495E81" w:rsidRPr="00495E81" w:rsidRDefault="00495E81" w:rsidP="00495E81">
      <w:pPr>
        <w:spacing w:after="0" w:line="360" w:lineRule="auto"/>
        <w:rPr>
          <w:b w:val="0"/>
          <w:bCs/>
          <w:sz w:val="24"/>
          <w:szCs w:val="20"/>
        </w:rPr>
      </w:pPr>
    </w:p>
    <w:p w:rsidR="00DB4AC1" w:rsidRDefault="00DB4AC1" w:rsidP="00E47275">
      <w:pPr>
        <w:pStyle w:val="Ttulo1"/>
        <w:numPr>
          <w:ilvl w:val="1"/>
          <w:numId w:val="28"/>
        </w:numPr>
      </w:pPr>
      <w:bookmarkStart w:id="36" w:name="_Toc80090954"/>
      <w:bookmarkStart w:id="37" w:name="_Toc80177699"/>
      <w:r>
        <w:t>Visión</w:t>
      </w:r>
      <w:r w:rsidR="00105948">
        <w:t xml:space="preserve"> 2024</w:t>
      </w:r>
      <w:bookmarkEnd w:id="36"/>
      <w:bookmarkEnd w:id="37"/>
    </w:p>
    <w:p w:rsidR="00495E81" w:rsidRDefault="00495E81" w:rsidP="00495E81">
      <w:pPr>
        <w:spacing w:after="0" w:line="360" w:lineRule="auto"/>
        <w:rPr>
          <w:b w:val="0"/>
          <w:bCs/>
          <w:sz w:val="24"/>
          <w:szCs w:val="20"/>
        </w:rPr>
      </w:pPr>
    </w:p>
    <w:p w:rsidR="00495E81" w:rsidRDefault="00495E81" w:rsidP="00495E81">
      <w:pPr>
        <w:spacing w:after="0" w:line="360" w:lineRule="auto"/>
        <w:rPr>
          <w:b w:val="0"/>
          <w:bCs/>
          <w:sz w:val="24"/>
          <w:szCs w:val="20"/>
        </w:rPr>
      </w:pPr>
      <w:bookmarkStart w:id="38" w:name="_Hlk80093125"/>
      <w:r w:rsidRPr="00495E81">
        <w:rPr>
          <w:b w:val="0"/>
          <w:bCs/>
          <w:sz w:val="24"/>
          <w:szCs w:val="20"/>
        </w:rPr>
        <w:t>Ser una institución pública con elevados niveles de calidad, eficiencia y transparencia; que responde equilibrada, equitativa y oportunamente a las necesidades de los diferentes actores del sector azucarero, así como a los requerimientos del mercado nacional e internacional; técnicamente competitiva, tanto en el país como en el marco de los organismos internacionales; y, que promueve la sostenibilidad ambiental, social y económica.</w:t>
      </w:r>
    </w:p>
    <w:bookmarkEnd w:id="38"/>
    <w:p w:rsidR="00495E81" w:rsidRPr="00495E81" w:rsidRDefault="00495E81" w:rsidP="00495E81">
      <w:pPr>
        <w:spacing w:after="0" w:line="360" w:lineRule="auto"/>
        <w:rPr>
          <w:b w:val="0"/>
          <w:bCs/>
          <w:sz w:val="24"/>
          <w:szCs w:val="20"/>
        </w:rPr>
      </w:pPr>
    </w:p>
    <w:p w:rsidR="00DB4AC1" w:rsidRDefault="00DB4AC1" w:rsidP="00E47275">
      <w:pPr>
        <w:pStyle w:val="Ttulo1"/>
        <w:numPr>
          <w:ilvl w:val="1"/>
          <w:numId w:val="28"/>
        </w:numPr>
      </w:pPr>
      <w:bookmarkStart w:id="39" w:name="_Toc80090955"/>
      <w:bookmarkStart w:id="40" w:name="_Toc80177700"/>
      <w:r>
        <w:t>Valores</w:t>
      </w:r>
      <w:bookmarkEnd w:id="39"/>
      <w:bookmarkEnd w:id="40"/>
    </w:p>
    <w:p w:rsidR="0048638A" w:rsidRPr="00D851D3" w:rsidRDefault="0048638A" w:rsidP="00D851D3">
      <w:pPr>
        <w:spacing w:after="0" w:line="360" w:lineRule="auto"/>
        <w:rPr>
          <w:sz w:val="24"/>
          <w:szCs w:val="20"/>
        </w:rPr>
      </w:pPr>
    </w:p>
    <w:p w:rsidR="00495E81" w:rsidRPr="00D851D3" w:rsidRDefault="00495E81" w:rsidP="00D851D3">
      <w:pPr>
        <w:pStyle w:val="Prrafodelista"/>
        <w:numPr>
          <w:ilvl w:val="0"/>
          <w:numId w:val="31"/>
        </w:numPr>
        <w:spacing w:after="0" w:line="360" w:lineRule="auto"/>
        <w:rPr>
          <w:b w:val="0"/>
          <w:bCs/>
          <w:sz w:val="24"/>
          <w:szCs w:val="20"/>
        </w:rPr>
      </w:pPr>
      <w:r w:rsidRPr="00D851D3">
        <w:rPr>
          <w:sz w:val="24"/>
          <w:szCs w:val="20"/>
        </w:rPr>
        <w:t>Ética</w:t>
      </w:r>
      <w:r w:rsidR="000510B3" w:rsidRPr="00D851D3">
        <w:rPr>
          <w:sz w:val="24"/>
          <w:szCs w:val="20"/>
        </w:rPr>
        <w:t>:</w:t>
      </w:r>
      <w:r w:rsidR="000510B3" w:rsidRPr="00D851D3">
        <w:rPr>
          <w:b w:val="0"/>
          <w:bCs/>
          <w:sz w:val="24"/>
          <w:szCs w:val="20"/>
        </w:rPr>
        <w:t xml:space="preserve"> Actuamos estrictamente apegados a la ética. Mostramos un comportamiento apegado a la honestidad, creemos en una cultura de confianza y verdad. No aceptamos </w:t>
      </w:r>
      <w:r w:rsidR="000510B3" w:rsidRPr="00D851D3">
        <w:rPr>
          <w:b w:val="0"/>
          <w:bCs/>
          <w:sz w:val="24"/>
          <w:szCs w:val="20"/>
        </w:rPr>
        <w:lastRenderedPageBreak/>
        <w:t xml:space="preserve">ningún compromiso pecuniario o moral con personas u organizaciones que puedan llevarnos a actuar alejados de nuestros deberes y obligaciones con la Institución y la sociedad. No discriminamos a </w:t>
      </w:r>
      <w:r w:rsidR="004C5881" w:rsidRPr="00D851D3">
        <w:rPr>
          <w:b w:val="0"/>
          <w:bCs/>
          <w:sz w:val="24"/>
          <w:szCs w:val="20"/>
        </w:rPr>
        <w:t>ninguna persona</w:t>
      </w:r>
      <w:r w:rsidR="000510B3" w:rsidRPr="00D851D3">
        <w:rPr>
          <w:b w:val="0"/>
          <w:bCs/>
          <w:sz w:val="24"/>
          <w:szCs w:val="20"/>
        </w:rPr>
        <w:t xml:space="preserve"> por razón de raza, color, religión, clase, sexo, género, origen nacional, edad</w:t>
      </w:r>
      <w:r w:rsidR="004C5881" w:rsidRPr="00D851D3">
        <w:rPr>
          <w:b w:val="0"/>
          <w:bCs/>
          <w:sz w:val="24"/>
          <w:szCs w:val="20"/>
        </w:rPr>
        <w:t>,</w:t>
      </w:r>
      <w:r w:rsidR="000510B3" w:rsidRPr="00D851D3">
        <w:rPr>
          <w:b w:val="0"/>
          <w:bCs/>
          <w:sz w:val="24"/>
          <w:szCs w:val="20"/>
        </w:rPr>
        <w:t xml:space="preserve"> orientación sexual</w:t>
      </w:r>
      <w:r w:rsidR="004C5881" w:rsidRPr="00D851D3">
        <w:rPr>
          <w:b w:val="0"/>
          <w:bCs/>
          <w:sz w:val="24"/>
          <w:szCs w:val="20"/>
        </w:rPr>
        <w:t xml:space="preserve"> o cualquier otra causa.</w:t>
      </w:r>
    </w:p>
    <w:p w:rsidR="00495E81" w:rsidRPr="00D851D3" w:rsidRDefault="00495E81" w:rsidP="00D851D3">
      <w:pPr>
        <w:pStyle w:val="Prrafodelista"/>
        <w:numPr>
          <w:ilvl w:val="0"/>
          <w:numId w:val="31"/>
        </w:numPr>
        <w:spacing w:after="0" w:line="360" w:lineRule="auto"/>
        <w:rPr>
          <w:b w:val="0"/>
          <w:bCs/>
          <w:sz w:val="24"/>
          <w:szCs w:val="20"/>
        </w:rPr>
      </w:pPr>
      <w:r w:rsidRPr="00D851D3">
        <w:rPr>
          <w:sz w:val="24"/>
          <w:szCs w:val="20"/>
        </w:rPr>
        <w:t>Integridad</w:t>
      </w:r>
      <w:r w:rsidR="000510B3" w:rsidRPr="00D851D3">
        <w:rPr>
          <w:sz w:val="24"/>
          <w:szCs w:val="20"/>
        </w:rPr>
        <w:t>:</w:t>
      </w:r>
      <w:r w:rsidR="000510B3" w:rsidRPr="00D851D3">
        <w:rPr>
          <w:b w:val="0"/>
          <w:bCs/>
          <w:sz w:val="24"/>
          <w:szCs w:val="20"/>
        </w:rPr>
        <w:t xml:space="preserve"> Somos una institución que desarrolla su trabajo orientado al logro de su misión, con honestidad y firmeza en sus actuaciones.</w:t>
      </w:r>
    </w:p>
    <w:p w:rsidR="00495E81" w:rsidRPr="00D851D3" w:rsidRDefault="00495E81" w:rsidP="00D851D3">
      <w:pPr>
        <w:pStyle w:val="Prrafodelista"/>
        <w:numPr>
          <w:ilvl w:val="0"/>
          <w:numId w:val="31"/>
        </w:numPr>
        <w:spacing w:after="0" w:line="360" w:lineRule="auto"/>
        <w:rPr>
          <w:b w:val="0"/>
          <w:bCs/>
          <w:sz w:val="24"/>
          <w:szCs w:val="20"/>
        </w:rPr>
      </w:pPr>
      <w:r w:rsidRPr="00D851D3">
        <w:rPr>
          <w:sz w:val="24"/>
          <w:szCs w:val="20"/>
        </w:rPr>
        <w:t>Objetividad</w:t>
      </w:r>
      <w:r w:rsidR="000510B3" w:rsidRPr="00D851D3">
        <w:rPr>
          <w:sz w:val="24"/>
          <w:szCs w:val="20"/>
        </w:rPr>
        <w:t>:</w:t>
      </w:r>
      <w:r w:rsidR="004C5881" w:rsidRPr="00D851D3">
        <w:rPr>
          <w:b w:val="0"/>
          <w:bCs/>
          <w:sz w:val="24"/>
          <w:szCs w:val="20"/>
        </w:rPr>
        <w:t>Tomamos decisiones justas en el desempeño de nuestras funciones. Condenamos el favoritismo, el conflicto de interés, la conveniencia particular y cualquier otra conducta que tienda a lesionar el derecho de las partes involucradas en nuestras decisiones.</w:t>
      </w:r>
    </w:p>
    <w:p w:rsidR="004C5881" w:rsidRPr="00D851D3" w:rsidRDefault="00495E81" w:rsidP="00D851D3">
      <w:pPr>
        <w:pStyle w:val="Prrafodelista"/>
        <w:numPr>
          <w:ilvl w:val="0"/>
          <w:numId w:val="31"/>
        </w:numPr>
        <w:spacing w:after="0" w:line="360" w:lineRule="auto"/>
        <w:rPr>
          <w:b w:val="0"/>
          <w:bCs/>
          <w:sz w:val="24"/>
          <w:szCs w:val="20"/>
        </w:rPr>
      </w:pPr>
      <w:r w:rsidRPr="00D851D3">
        <w:rPr>
          <w:sz w:val="24"/>
          <w:szCs w:val="20"/>
        </w:rPr>
        <w:t>Transparencia</w:t>
      </w:r>
      <w:r w:rsidR="004C5881" w:rsidRPr="00D851D3">
        <w:rPr>
          <w:sz w:val="24"/>
          <w:szCs w:val="20"/>
        </w:rPr>
        <w:t>:</w:t>
      </w:r>
      <w:r w:rsidR="004C5881" w:rsidRPr="00D851D3">
        <w:rPr>
          <w:b w:val="0"/>
          <w:bCs/>
          <w:sz w:val="24"/>
          <w:szCs w:val="20"/>
        </w:rPr>
        <w:t xml:space="preserve"> Manejamos con claridad los recursos y cuestiones institucionales dentro del marco de lo establecido por la ley. Somos transparentes en nuestras acciones y decisiones. No retemos información de interés público.</w:t>
      </w:r>
    </w:p>
    <w:p w:rsidR="00495E81" w:rsidRPr="00D851D3" w:rsidRDefault="00495E81" w:rsidP="00D851D3">
      <w:pPr>
        <w:pStyle w:val="Prrafodelista"/>
        <w:numPr>
          <w:ilvl w:val="0"/>
          <w:numId w:val="31"/>
        </w:numPr>
        <w:spacing w:after="0" w:line="360" w:lineRule="auto"/>
        <w:rPr>
          <w:b w:val="0"/>
          <w:bCs/>
          <w:sz w:val="24"/>
          <w:szCs w:val="20"/>
        </w:rPr>
      </w:pPr>
      <w:r w:rsidRPr="00D851D3">
        <w:rPr>
          <w:sz w:val="24"/>
          <w:szCs w:val="20"/>
        </w:rPr>
        <w:t>Competitividad</w:t>
      </w:r>
      <w:r w:rsidR="004C5881" w:rsidRPr="00D851D3">
        <w:rPr>
          <w:sz w:val="24"/>
          <w:szCs w:val="20"/>
        </w:rPr>
        <w:t>:</w:t>
      </w:r>
      <w:r w:rsidR="004C5881" w:rsidRPr="00D851D3">
        <w:rPr>
          <w:b w:val="0"/>
          <w:bCs/>
          <w:sz w:val="24"/>
          <w:szCs w:val="20"/>
        </w:rPr>
        <w:t xml:space="preserve"> Somos competitivos. Desarrollamos nuestra misión en un marco de sana competencia, apegada a principios éticos.</w:t>
      </w:r>
    </w:p>
    <w:p w:rsidR="00495E81" w:rsidRPr="00D851D3" w:rsidRDefault="00495E81" w:rsidP="00D851D3">
      <w:pPr>
        <w:pStyle w:val="Prrafodelista"/>
        <w:numPr>
          <w:ilvl w:val="0"/>
          <w:numId w:val="31"/>
        </w:numPr>
        <w:spacing w:after="0" w:line="360" w:lineRule="auto"/>
        <w:rPr>
          <w:b w:val="0"/>
          <w:bCs/>
          <w:sz w:val="24"/>
          <w:szCs w:val="20"/>
        </w:rPr>
      </w:pPr>
      <w:r w:rsidRPr="00D851D3">
        <w:rPr>
          <w:sz w:val="24"/>
          <w:szCs w:val="20"/>
        </w:rPr>
        <w:t>Equidad</w:t>
      </w:r>
      <w:r w:rsidR="004C5881" w:rsidRPr="00D851D3">
        <w:rPr>
          <w:sz w:val="24"/>
          <w:szCs w:val="20"/>
        </w:rPr>
        <w:t>:</w:t>
      </w:r>
      <w:r w:rsidR="00B020C2" w:rsidRPr="00D851D3">
        <w:rPr>
          <w:b w:val="0"/>
          <w:bCs/>
          <w:sz w:val="24"/>
          <w:szCs w:val="20"/>
        </w:rPr>
        <w:t xml:space="preserve">Actuamos de manera equitativa. Tratamos de que nuestras decisiones sean equilibradas, evitando perjudicar </w:t>
      </w:r>
      <w:r w:rsidR="00D851D3" w:rsidRPr="00D851D3">
        <w:rPr>
          <w:b w:val="0"/>
          <w:bCs/>
          <w:sz w:val="24"/>
          <w:szCs w:val="20"/>
        </w:rPr>
        <w:t xml:space="preserve">o beneficiar </w:t>
      </w:r>
      <w:r w:rsidR="00B020C2" w:rsidRPr="00D851D3">
        <w:rPr>
          <w:b w:val="0"/>
          <w:bCs/>
          <w:sz w:val="24"/>
          <w:szCs w:val="20"/>
        </w:rPr>
        <w:t>más allá de lo legalmente</w:t>
      </w:r>
      <w:r w:rsidR="00D851D3" w:rsidRPr="00D851D3">
        <w:rPr>
          <w:b w:val="0"/>
          <w:bCs/>
          <w:sz w:val="24"/>
          <w:szCs w:val="20"/>
        </w:rPr>
        <w:t xml:space="preserve"> permitido a las partes involucradas en nuestro accionar.</w:t>
      </w:r>
    </w:p>
    <w:p w:rsidR="004C5881" w:rsidRPr="00D851D3" w:rsidRDefault="00495E81" w:rsidP="00D851D3">
      <w:pPr>
        <w:pStyle w:val="Prrafodelista"/>
        <w:numPr>
          <w:ilvl w:val="0"/>
          <w:numId w:val="31"/>
        </w:numPr>
        <w:spacing w:after="0" w:line="360" w:lineRule="auto"/>
        <w:rPr>
          <w:b w:val="0"/>
          <w:bCs/>
          <w:sz w:val="24"/>
          <w:szCs w:val="20"/>
        </w:rPr>
      </w:pPr>
      <w:r w:rsidRPr="00D851D3">
        <w:rPr>
          <w:sz w:val="24"/>
          <w:szCs w:val="20"/>
        </w:rPr>
        <w:t>Responsabilidad</w:t>
      </w:r>
      <w:r w:rsidR="004C5881" w:rsidRPr="00D851D3">
        <w:rPr>
          <w:sz w:val="24"/>
          <w:szCs w:val="20"/>
        </w:rPr>
        <w:t>:</w:t>
      </w:r>
      <w:r w:rsidR="004C5881" w:rsidRPr="00D851D3">
        <w:rPr>
          <w:b w:val="0"/>
          <w:bCs/>
          <w:sz w:val="24"/>
          <w:szCs w:val="20"/>
        </w:rPr>
        <w:t xml:space="preserve"> Somos responsables por nuestras decisiones, actuaciones u omisiones. Respondemos ante la ley y cualquier persona por las consecuencias derivadas de nuestras acciones.</w:t>
      </w:r>
    </w:p>
    <w:p w:rsidR="00495E81" w:rsidRPr="00D851D3" w:rsidRDefault="00495E81" w:rsidP="00D851D3">
      <w:pPr>
        <w:pStyle w:val="Prrafodelista"/>
        <w:numPr>
          <w:ilvl w:val="0"/>
          <w:numId w:val="31"/>
        </w:numPr>
        <w:spacing w:after="0" w:line="360" w:lineRule="auto"/>
        <w:rPr>
          <w:b w:val="0"/>
          <w:bCs/>
          <w:sz w:val="24"/>
          <w:szCs w:val="20"/>
        </w:rPr>
      </w:pPr>
      <w:r w:rsidRPr="00D851D3">
        <w:rPr>
          <w:sz w:val="24"/>
          <w:szCs w:val="20"/>
        </w:rPr>
        <w:t>Compromiso</w:t>
      </w:r>
      <w:r w:rsidR="000510B3" w:rsidRPr="00D851D3">
        <w:rPr>
          <w:sz w:val="24"/>
          <w:szCs w:val="20"/>
        </w:rPr>
        <w:t>:</w:t>
      </w:r>
      <w:r w:rsidR="000510B3" w:rsidRPr="00D851D3">
        <w:rPr>
          <w:b w:val="0"/>
          <w:bCs/>
          <w:sz w:val="24"/>
          <w:szCs w:val="20"/>
        </w:rPr>
        <w:t xml:space="preserve"> Nos comprometemos socialmente y tomamos parte en los asuntos que son de nuestra competencia, jugando el rol que la ley ha reservado para la Institución.</w:t>
      </w:r>
    </w:p>
    <w:p w:rsidR="00495E81" w:rsidRPr="00D851D3" w:rsidRDefault="00495E81" w:rsidP="00D851D3">
      <w:pPr>
        <w:pStyle w:val="Prrafodelista"/>
        <w:numPr>
          <w:ilvl w:val="0"/>
          <w:numId w:val="31"/>
        </w:numPr>
        <w:spacing w:after="0" w:line="360" w:lineRule="auto"/>
        <w:rPr>
          <w:b w:val="0"/>
          <w:bCs/>
          <w:sz w:val="24"/>
          <w:szCs w:val="20"/>
        </w:rPr>
      </w:pPr>
      <w:r w:rsidRPr="00D851D3">
        <w:rPr>
          <w:sz w:val="24"/>
          <w:szCs w:val="20"/>
        </w:rPr>
        <w:t>Excelencia</w:t>
      </w:r>
      <w:r w:rsidR="00D851D3" w:rsidRPr="00D851D3">
        <w:rPr>
          <w:sz w:val="24"/>
          <w:szCs w:val="20"/>
        </w:rPr>
        <w:t xml:space="preserve">: </w:t>
      </w:r>
      <w:r w:rsidR="00D851D3" w:rsidRPr="00D851D3">
        <w:rPr>
          <w:b w:val="0"/>
          <w:bCs/>
          <w:sz w:val="24"/>
          <w:szCs w:val="20"/>
        </w:rPr>
        <w:t>En nuestras acciones buscamos ser excelentes. Prestamos servicios con alta calidad. Identificamos debilidades y aplicamos mejoras en lo que hacemos.</w:t>
      </w:r>
    </w:p>
    <w:p w:rsidR="0048638A" w:rsidRPr="00D851D3" w:rsidRDefault="00495E81" w:rsidP="00D851D3">
      <w:pPr>
        <w:pStyle w:val="Prrafodelista"/>
        <w:numPr>
          <w:ilvl w:val="0"/>
          <w:numId w:val="31"/>
        </w:numPr>
        <w:spacing w:after="0" w:line="360" w:lineRule="auto"/>
        <w:rPr>
          <w:b w:val="0"/>
          <w:bCs/>
          <w:sz w:val="24"/>
          <w:szCs w:val="20"/>
        </w:rPr>
      </w:pPr>
      <w:r w:rsidRPr="00D851D3">
        <w:rPr>
          <w:sz w:val="24"/>
          <w:szCs w:val="20"/>
        </w:rPr>
        <w:t>Colaboración</w:t>
      </w:r>
      <w:r w:rsidR="00D851D3" w:rsidRPr="00D851D3">
        <w:rPr>
          <w:sz w:val="24"/>
          <w:szCs w:val="20"/>
        </w:rPr>
        <w:t>:</w:t>
      </w:r>
      <w:r w:rsidR="00D851D3" w:rsidRPr="00D851D3">
        <w:rPr>
          <w:b w:val="0"/>
          <w:bCs/>
          <w:sz w:val="24"/>
          <w:szCs w:val="20"/>
        </w:rPr>
        <w:t xml:space="preserve"> Colaboramos entre nosotros, con nuestros socios y la ciudadanía en propósitos comunes.</w:t>
      </w:r>
    </w:p>
    <w:p w:rsidR="0048638A" w:rsidRDefault="0048638A" w:rsidP="00495E81">
      <w:pPr>
        <w:spacing w:after="0" w:line="360" w:lineRule="auto"/>
        <w:rPr>
          <w:b w:val="0"/>
          <w:bCs/>
          <w:sz w:val="24"/>
          <w:szCs w:val="20"/>
        </w:rPr>
      </w:pPr>
    </w:p>
    <w:p w:rsidR="00D851D3" w:rsidRPr="00495E81" w:rsidRDefault="00D851D3" w:rsidP="00495E81">
      <w:pPr>
        <w:spacing w:after="0" w:line="360" w:lineRule="auto"/>
        <w:rPr>
          <w:b w:val="0"/>
          <w:bCs/>
          <w:sz w:val="24"/>
          <w:szCs w:val="20"/>
        </w:rPr>
      </w:pPr>
    </w:p>
    <w:p w:rsidR="00DB4AC1" w:rsidRDefault="00DB4AC1" w:rsidP="00E47275">
      <w:pPr>
        <w:pStyle w:val="Ttulo1"/>
      </w:pPr>
      <w:bookmarkStart w:id="41" w:name="_Toc80090956"/>
      <w:bookmarkStart w:id="42" w:name="_Toc80177701"/>
      <w:r>
        <w:lastRenderedPageBreak/>
        <w:t>MARCO ESTRATÉGICO 2024</w:t>
      </w:r>
      <w:bookmarkEnd w:id="41"/>
      <w:bookmarkEnd w:id="42"/>
    </w:p>
    <w:p w:rsidR="00D851D3" w:rsidRDefault="00D851D3" w:rsidP="00D851D3">
      <w:pPr>
        <w:spacing w:after="0" w:line="360" w:lineRule="auto"/>
        <w:rPr>
          <w:b w:val="0"/>
          <w:bCs/>
          <w:sz w:val="24"/>
          <w:szCs w:val="20"/>
        </w:rPr>
      </w:pPr>
    </w:p>
    <w:p w:rsidR="00D851D3" w:rsidRDefault="00D851D3" w:rsidP="00D851D3">
      <w:pPr>
        <w:spacing w:after="0" w:line="360" w:lineRule="auto"/>
        <w:rPr>
          <w:b w:val="0"/>
          <w:bCs/>
          <w:sz w:val="24"/>
          <w:szCs w:val="20"/>
        </w:rPr>
      </w:pPr>
      <w:r>
        <w:rPr>
          <w:b w:val="0"/>
          <w:bCs/>
          <w:sz w:val="24"/>
          <w:szCs w:val="20"/>
        </w:rPr>
        <w:t xml:space="preserve">El marco estratégico del PEI 2024 está compuesto por </w:t>
      </w:r>
      <w:r w:rsidR="00D24433">
        <w:rPr>
          <w:b w:val="0"/>
          <w:bCs/>
          <w:sz w:val="24"/>
          <w:szCs w:val="20"/>
        </w:rPr>
        <w:t xml:space="preserve">los ejes estratégicos, el </w:t>
      </w:r>
      <w:r>
        <w:rPr>
          <w:b w:val="0"/>
          <w:bCs/>
          <w:sz w:val="24"/>
          <w:szCs w:val="20"/>
        </w:rPr>
        <w:t>objetivo general, los objetivos estratégicos, los resultados esperados, los productos entregables y la matriz estratégica. En ese sentido, a continuación, se presenta una descripción de dichos componentes.</w:t>
      </w:r>
    </w:p>
    <w:p w:rsidR="00D24433" w:rsidRDefault="00D24433" w:rsidP="00D851D3">
      <w:pPr>
        <w:spacing w:after="0" w:line="360" w:lineRule="auto"/>
        <w:rPr>
          <w:b w:val="0"/>
          <w:bCs/>
          <w:sz w:val="24"/>
          <w:szCs w:val="20"/>
        </w:rPr>
      </w:pPr>
    </w:p>
    <w:p w:rsidR="00D24433" w:rsidRPr="00D851D3" w:rsidRDefault="00D24433" w:rsidP="00E47275">
      <w:pPr>
        <w:pStyle w:val="Ttulo1"/>
        <w:numPr>
          <w:ilvl w:val="1"/>
          <w:numId w:val="32"/>
        </w:numPr>
      </w:pPr>
      <w:bookmarkStart w:id="43" w:name="_Toc80090957"/>
      <w:bookmarkStart w:id="44" w:name="_Toc80177702"/>
      <w:r w:rsidRPr="00D851D3">
        <w:t>Ejes Estratégicos</w:t>
      </w:r>
      <w:bookmarkEnd w:id="43"/>
      <w:bookmarkEnd w:id="44"/>
    </w:p>
    <w:p w:rsidR="00D24433" w:rsidRDefault="00D24433" w:rsidP="00D24433">
      <w:pPr>
        <w:spacing w:after="0" w:line="360" w:lineRule="auto"/>
        <w:rPr>
          <w:b w:val="0"/>
          <w:bCs/>
          <w:sz w:val="24"/>
          <w:szCs w:val="20"/>
        </w:rPr>
      </w:pPr>
    </w:p>
    <w:p w:rsidR="00D24433" w:rsidRDefault="00D24433" w:rsidP="00D24433">
      <w:pPr>
        <w:spacing w:after="0" w:line="360" w:lineRule="auto"/>
        <w:rPr>
          <w:b w:val="0"/>
          <w:bCs/>
          <w:sz w:val="24"/>
          <w:szCs w:val="20"/>
        </w:rPr>
      </w:pPr>
      <w:r>
        <w:rPr>
          <w:b w:val="0"/>
          <w:bCs/>
          <w:sz w:val="24"/>
          <w:szCs w:val="20"/>
        </w:rPr>
        <w:t>En el marco del PEI 2024 se han definidos dos grandes ejes estratégicos que articulan toda la lógica aspiracional. En ese orden, a continuación, se comparte una descripción de los mismos.</w:t>
      </w:r>
    </w:p>
    <w:p w:rsidR="00D24433" w:rsidRDefault="00D24433" w:rsidP="00D24433">
      <w:pPr>
        <w:spacing w:after="0" w:line="360" w:lineRule="auto"/>
        <w:rPr>
          <w:b w:val="0"/>
          <w:bCs/>
          <w:sz w:val="24"/>
          <w:szCs w:val="20"/>
        </w:rPr>
      </w:pPr>
    </w:p>
    <w:p w:rsidR="00D24433" w:rsidRDefault="00D24433" w:rsidP="00D24433">
      <w:pPr>
        <w:spacing w:after="0" w:line="360" w:lineRule="auto"/>
        <w:rPr>
          <w:b w:val="0"/>
          <w:bCs/>
          <w:sz w:val="24"/>
          <w:szCs w:val="20"/>
        </w:rPr>
      </w:pPr>
      <w:bookmarkStart w:id="45" w:name="_Hlk79672576"/>
      <w:r w:rsidRPr="000E2B38">
        <w:rPr>
          <w:sz w:val="24"/>
          <w:szCs w:val="20"/>
        </w:rPr>
        <w:t xml:space="preserve">Eje Estratégico No. 1.- </w:t>
      </w:r>
      <w:bookmarkStart w:id="46" w:name="_Hlk79673978"/>
      <w:bookmarkEnd w:id="45"/>
      <w:r w:rsidRPr="000E2B38">
        <w:rPr>
          <w:sz w:val="24"/>
          <w:szCs w:val="20"/>
        </w:rPr>
        <w:t>Políticas, Estudios y Regulación</w:t>
      </w:r>
      <w:bookmarkEnd w:id="46"/>
      <w:r w:rsidRPr="000E2B38">
        <w:rPr>
          <w:sz w:val="24"/>
          <w:szCs w:val="20"/>
        </w:rPr>
        <w:t>:</w:t>
      </w:r>
      <w:r>
        <w:rPr>
          <w:b w:val="0"/>
          <w:bCs/>
          <w:sz w:val="24"/>
          <w:szCs w:val="20"/>
        </w:rPr>
        <w:t xml:space="preserve"> El presente eje estratégico articula el conjunto de objetivos, resultados, productos e indicadores orientados a lograr un impacto directo en el área misional. De manera que, el mismo se compone de las aspiraciones dirigidas a lograr procesos de regulación, vigilancia y asistencia con altos niveles de calidad técnica, que contribuyan con el crecimiento del sector azucarero dominicano.</w:t>
      </w:r>
    </w:p>
    <w:p w:rsidR="00D24433" w:rsidRDefault="00D24433" w:rsidP="00D24433">
      <w:pPr>
        <w:spacing w:after="0" w:line="360" w:lineRule="auto"/>
        <w:rPr>
          <w:b w:val="0"/>
          <w:bCs/>
          <w:sz w:val="24"/>
          <w:szCs w:val="20"/>
        </w:rPr>
      </w:pPr>
    </w:p>
    <w:p w:rsidR="00D24433" w:rsidRDefault="00D24433" w:rsidP="00D24433">
      <w:pPr>
        <w:spacing w:after="0" w:line="360" w:lineRule="auto"/>
        <w:rPr>
          <w:b w:val="0"/>
          <w:bCs/>
          <w:sz w:val="24"/>
          <w:szCs w:val="20"/>
        </w:rPr>
      </w:pPr>
      <w:r w:rsidRPr="000E2B38">
        <w:rPr>
          <w:sz w:val="24"/>
          <w:szCs w:val="20"/>
        </w:rPr>
        <w:t xml:space="preserve">Eje Estratégico No. </w:t>
      </w:r>
      <w:r>
        <w:rPr>
          <w:sz w:val="24"/>
          <w:szCs w:val="20"/>
        </w:rPr>
        <w:t>2</w:t>
      </w:r>
      <w:r w:rsidRPr="000E2B38">
        <w:rPr>
          <w:sz w:val="24"/>
          <w:szCs w:val="20"/>
        </w:rPr>
        <w:t>.- Calidad de la Gestión Institucional</w:t>
      </w:r>
      <w:r>
        <w:rPr>
          <w:sz w:val="24"/>
          <w:szCs w:val="20"/>
        </w:rPr>
        <w:t xml:space="preserve">: </w:t>
      </w:r>
      <w:r w:rsidRPr="00895996">
        <w:rPr>
          <w:b w:val="0"/>
          <w:bCs/>
          <w:sz w:val="24"/>
          <w:szCs w:val="20"/>
        </w:rPr>
        <w:t>El presente eje estratégico articula conjunto de objetivos, resultados, productos e indicadores orientados</w:t>
      </w:r>
      <w:r>
        <w:rPr>
          <w:b w:val="0"/>
          <w:bCs/>
          <w:sz w:val="24"/>
          <w:szCs w:val="20"/>
        </w:rPr>
        <w:t xml:space="preserve"> a la mejora de los procesos internos de la Institución. En ese sentido, el mismo agrupa las aspiraciones encaminadas al fortalecimiento de los procesos técnicos, administrativos y logísticos para convertir a INAZUCAR en una institución más ágil y transparente, potenciando así el logro de la misión con mayor calidad.</w:t>
      </w:r>
    </w:p>
    <w:p w:rsidR="00D851D3" w:rsidRPr="00D851D3" w:rsidRDefault="00D851D3" w:rsidP="00D851D3">
      <w:pPr>
        <w:spacing w:after="0" w:line="360" w:lineRule="auto"/>
        <w:rPr>
          <w:b w:val="0"/>
          <w:bCs/>
          <w:sz w:val="24"/>
          <w:szCs w:val="20"/>
        </w:rPr>
      </w:pPr>
    </w:p>
    <w:p w:rsidR="00DB4AC1" w:rsidRDefault="00DB4AC1" w:rsidP="00E47275">
      <w:pPr>
        <w:pStyle w:val="Ttulo1"/>
        <w:numPr>
          <w:ilvl w:val="1"/>
          <w:numId w:val="32"/>
        </w:numPr>
      </w:pPr>
      <w:bookmarkStart w:id="47" w:name="_Toc80090958"/>
      <w:bookmarkStart w:id="48" w:name="_Toc80177703"/>
      <w:r>
        <w:t>Objetivo General</w:t>
      </w:r>
      <w:bookmarkEnd w:id="47"/>
      <w:bookmarkEnd w:id="48"/>
    </w:p>
    <w:p w:rsidR="00D851D3" w:rsidRDefault="00D851D3" w:rsidP="00D851D3">
      <w:pPr>
        <w:spacing w:after="0" w:line="360" w:lineRule="auto"/>
        <w:rPr>
          <w:b w:val="0"/>
          <w:bCs/>
          <w:sz w:val="24"/>
          <w:szCs w:val="20"/>
        </w:rPr>
      </w:pPr>
    </w:p>
    <w:p w:rsidR="00D24433" w:rsidRDefault="00A608FA" w:rsidP="00D851D3">
      <w:pPr>
        <w:spacing w:after="0" w:line="360" w:lineRule="auto"/>
        <w:rPr>
          <w:b w:val="0"/>
          <w:bCs/>
          <w:sz w:val="24"/>
          <w:szCs w:val="20"/>
        </w:rPr>
      </w:pPr>
      <w:r w:rsidRPr="00A608FA">
        <w:rPr>
          <w:b w:val="0"/>
          <w:bCs/>
          <w:sz w:val="24"/>
          <w:szCs w:val="20"/>
        </w:rPr>
        <w:t>Contribuir con el aumento de la producción azucarera y la estabilidad del sector azucarero nacional, garantizando servicios, regulación técnica y asistencia con altos niveles de calidad.</w:t>
      </w:r>
    </w:p>
    <w:p w:rsidR="00D851D3" w:rsidRDefault="00D851D3" w:rsidP="00D851D3">
      <w:pPr>
        <w:spacing w:after="0" w:line="360" w:lineRule="auto"/>
        <w:rPr>
          <w:b w:val="0"/>
          <w:bCs/>
          <w:sz w:val="24"/>
          <w:szCs w:val="20"/>
        </w:rPr>
      </w:pPr>
    </w:p>
    <w:p w:rsidR="00D851D3" w:rsidRPr="00D851D3" w:rsidRDefault="00D851D3" w:rsidP="00D851D3">
      <w:pPr>
        <w:spacing w:after="0" w:line="360" w:lineRule="auto"/>
        <w:rPr>
          <w:b w:val="0"/>
          <w:bCs/>
          <w:sz w:val="24"/>
          <w:szCs w:val="20"/>
        </w:rPr>
      </w:pPr>
    </w:p>
    <w:p w:rsidR="00DB4AC1" w:rsidRDefault="00DB4AC1" w:rsidP="00E47275">
      <w:pPr>
        <w:pStyle w:val="Ttulo1"/>
        <w:numPr>
          <w:ilvl w:val="1"/>
          <w:numId w:val="32"/>
        </w:numPr>
      </w:pPr>
      <w:bookmarkStart w:id="49" w:name="_Toc80090959"/>
      <w:bookmarkStart w:id="50" w:name="_Toc80177704"/>
      <w:r>
        <w:lastRenderedPageBreak/>
        <w:t>Objetivos Estratégicos</w:t>
      </w:r>
      <w:bookmarkEnd w:id="49"/>
      <w:bookmarkEnd w:id="50"/>
    </w:p>
    <w:p w:rsidR="0061418E" w:rsidRDefault="0061418E" w:rsidP="0061418E">
      <w:pPr>
        <w:spacing w:after="0" w:line="360" w:lineRule="auto"/>
        <w:rPr>
          <w:b w:val="0"/>
          <w:bCs/>
          <w:sz w:val="24"/>
          <w:szCs w:val="20"/>
        </w:rPr>
      </w:pPr>
    </w:p>
    <w:p w:rsidR="00FA221C" w:rsidRDefault="00FA221C" w:rsidP="0061418E">
      <w:pPr>
        <w:spacing w:after="0" w:line="360" w:lineRule="auto"/>
        <w:rPr>
          <w:b w:val="0"/>
          <w:bCs/>
          <w:sz w:val="24"/>
          <w:szCs w:val="20"/>
        </w:rPr>
      </w:pPr>
      <w:r>
        <w:rPr>
          <w:b w:val="0"/>
          <w:bCs/>
          <w:sz w:val="24"/>
          <w:szCs w:val="20"/>
        </w:rPr>
        <w:t xml:space="preserve">La lógica estratégica del PEI 2024 cuenta con </w:t>
      </w:r>
      <w:r w:rsidR="00C11BDA">
        <w:rPr>
          <w:b w:val="0"/>
          <w:bCs/>
          <w:sz w:val="24"/>
          <w:szCs w:val="20"/>
        </w:rPr>
        <w:t>dos objetivos estratégicos contenidos en los ejes estratégicos, los cuales se presentan en la tabla que aparece a continuación.</w:t>
      </w:r>
    </w:p>
    <w:p w:rsidR="00C11BDA" w:rsidRDefault="00C11BDA" w:rsidP="0061418E">
      <w:pPr>
        <w:spacing w:after="0" w:line="360" w:lineRule="auto"/>
        <w:rPr>
          <w:b w:val="0"/>
          <w:bCs/>
          <w:sz w:val="24"/>
          <w:szCs w:val="20"/>
        </w:rPr>
      </w:pPr>
    </w:p>
    <w:tbl>
      <w:tblPr>
        <w:tblStyle w:val="Tablaconcuadrcula"/>
        <w:tblW w:w="0" w:type="auto"/>
        <w:tblLook w:val="0000"/>
      </w:tblPr>
      <w:tblGrid>
        <w:gridCol w:w="4531"/>
        <w:gridCol w:w="4819"/>
      </w:tblGrid>
      <w:tr w:rsidR="00C11BDA" w:rsidTr="00C11BDA">
        <w:trPr>
          <w:trHeight w:val="420"/>
        </w:trPr>
        <w:tc>
          <w:tcPr>
            <w:tcW w:w="9350" w:type="dxa"/>
            <w:gridSpan w:val="2"/>
          </w:tcPr>
          <w:p w:rsidR="00C11BDA" w:rsidRDefault="00C11BDA" w:rsidP="00C11BDA">
            <w:pPr>
              <w:spacing w:line="360" w:lineRule="auto"/>
              <w:jc w:val="center"/>
              <w:rPr>
                <w:sz w:val="24"/>
                <w:szCs w:val="20"/>
              </w:rPr>
            </w:pPr>
            <w:r>
              <w:rPr>
                <w:sz w:val="24"/>
                <w:szCs w:val="20"/>
              </w:rPr>
              <w:t xml:space="preserve">Tabla No. IV: </w:t>
            </w:r>
            <w:r w:rsidR="008B2D50">
              <w:rPr>
                <w:sz w:val="24"/>
                <w:szCs w:val="20"/>
              </w:rPr>
              <w:t>Objetivos</w:t>
            </w:r>
            <w:r>
              <w:rPr>
                <w:sz w:val="24"/>
                <w:szCs w:val="20"/>
              </w:rPr>
              <w:t xml:space="preserve"> Estratégicos del PEI 2024</w:t>
            </w:r>
          </w:p>
        </w:tc>
      </w:tr>
      <w:tr w:rsidR="00C11BDA" w:rsidTr="00C11BDA">
        <w:tblPrEx>
          <w:tblLook w:val="04A0"/>
        </w:tblPrEx>
        <w:tc>
          <w:tcPr>
            <w:tcW w:w="4531" w:type="dxa"/>
          </w:tcPr>
          <w:p w:rsidR="00C11BDA" w:rsidRDefault="00C11BDA" w:rsidP="00C11BDA">
            <w:pPr>
              <w:spacing w:line="360" w:lineRule="auto"/>
              <w:jc w:val="center"/>
              <w:rPr>
                <w:sz w:val="24"/>
                <w:szCs w:val="20"/>
              </w:rPr>
            </w:pPr>
            <w:r>
              <w:rPr>
                <w:sz w:val="24"/>
                <w:szCs w:val="20"/>
              </w:rPr>
              <w:t>Eje Estratégico</w:t>
            </w:r>
          </w:p>
        </w:tc>
        <w:tc>
          <w:tcPr>
            <w:tcW w:w="4819" w:type="dxa"/>
          </w:tcPr>
          <w:p w:rsidR="00C11BDA" w:rsidRDefault="00C11BDA" w:rsidP="00C11BDA">
            <w:pPr>
              <w:spacing w:line="360" w:lineRule="auto"/>
              <w:jc w:val="center"/>
              <w:rPr>
                <w:sz w:val="24"/>
                <w:szCs w:val="20"/>
              </w:rPr>
            </w:pPr>
            <w:r>
              <w:rPr>
                <w:sz w:val="24"/>
                <w:szCs w:val="20"/>
              </w:rPr>
              <w:t>Objetivo Estratégico</w:t>
            </w:r>
          </w:p>
        </w:tc>
      </w:tr>
      <w:tr w:rsidR="00C11BDA" w:rsidRPr="00C11BDA" w:rsidTr="00C11BDA">
        <w:tblPrEx>
          <w:tblLook w:val="04A0"/>
        </w:tblPrEx>
        <w:tc>
          <w:tcPr>
            <w:tcW w:w="4531" w:type="dxa"/>
          </w:tcPr>
          <w:p w:rsidR="00C11BDA" w:rsidRPr="00C11BDA" w:rsidRDefault="00C11BDA" w:rsidP="00C11BDA">
            <w:pPr>
              <w:spacing w:line="360" w:lineRule="auto"/>
              <w:rPr>
                <w:b w:val="0"/>
                <w:bCs/>
                <w:sz w:val="24"/>
                <w:szCs w:val="20"/>
              </w:rPr>
            </w:pPr>
            <w:r w:rsidRPr="00C11BDA">
              <w:rPr>
                <w:b w:val="0"/>
                <w:bCs/>
                <w:sz w:val="24"/>
                <w:szCs w:val="20"/>
              </w:rPr>
              <w:t>Eje Estratégico No. 1: Políticas, Estudios y Regulación</w:t>
            </w:r>
          </w:p>
        </w:tc>
        <w:tc>
          <w:tcPr>
            <w:tcW w:w="4819" w:type="dxa"/>
          </w:tcPr>
          <w:p w:rsidR="00C11BDA" w:rsidRPr="00C11BDA" w:rsidRDefault="00C11BDA" w:rsidP="00C11BDA">
            <w:pPr>
              <w:spacing w:line="360" w:lineRule="auto"/>
              <w:rPr>
                <w:b w:val="0"/>
                <w:bCs/>
                <w:sz w:val="24"/>
                <w:szCs w:val="20"/>
              </w:rPr>
            </w:pPr>
            <w:r w:rsidRPr="00C11BDA">
              <w:rPr>
                <w:b w:val="0"/>
                <w:bCs/>
                <w:sz w:val="24"/>
                <w:szCs w:val="20"/>
              </w:rPr>
              <w:t>OE1: Fortalecer la regulación y vigilancia de la política azucarera a nivel nacional.</w:t>
            </w:r>
          </w:p>
        </w:tc>
      </w:tr>
      <w:tr w:rsidR="00C11BDA" w:rsidRPr="00C11BDA" w:rsidTr="00C11BDA">
        <w:tblPrEx>
          <w:tblLook w:val="04A0"/>
        </w:tblPrEx>
        <w:tc>
          <w:tcPr>
            <w:tcW w:w="4531" w:type="dxa"/>
          </w:tcPr>
          <w:p w:rsidR="00C11BDA" w:rsidRPr="00C11BDA" w:rsidRDefault="00C11BDA" w:rsidP="00C11BDA">
            <w:pPr>
              <w:spacing w:line="360" w:lineRule="auto"/>
              <w:rPr>
                <w:b w:val="0"/>
                <w:bCs/>
                <w:sz w:val="24"/>
                <w:szCs w:val="20"/>
              </w:rPr>
            </w:pPr>
            <w:r w:rsidRPr="00C11BDA">
              <w:rPr>
                <w:b w:val="0"/>
                <w:bCs/>
                <w:sz w:val="24"/>
                <w:szCs w:val="20"/>
              </w:rPr>
              <w:t>Eje Estratégico No. 2.- Calidad de la Gestión Institucional</w:t>
            </w:r>
          </w:p>
        </w:tc>
        <w:tc>
          <w:tcPr>
            <w:tcW w:w="4819" w:type="dxa"/>
          </w:tcPr>
          <w:p w:rsidR="00C11BDA" w:rsidRPr="00C11BDA" w:rsidRDefault="00C11BDA" w:rsidP="00C11BDA">
            <w:pPr>
              <w:spacing w:line="360" w:lineRule="auto"/>
              <w:rPr>
                <w:b w:val="0"/>
                <w:bCs/>
                <w:sz w:val="24"/>
                <w:szCs w:val="20"/>
              </w:rPr>
            </w:pPr>
            <w:r w:rsidRPr="00C11BDA">
              <w:rPr>
                <w:b w:val="0"/>
                <w:bCs/>
                <w:sz w:val="24"/>
                <w:szCs w:val="20"/>
              </w:rPr>
              <w:t>OE2: Mejorar la calidad de la gestión institucional del INAZUCAR, conforme al marco legal de la Administración Pública.</w:t>
            </w:r>
          </w:p>
        </w:tc>
      </w:tr>
    </w:tbl>
    <w:p w:rsidR="00D851D3" w:rsidRPr="00D851D3" w:rsidRDefault="00D851D3" w:rsidP="005E43F4">
      <w:pPr>
        <w:spacing w:after="0" w:line="360" w:lineRule="auto"/>
      </w:pPr>
    </w:p>
    <w:p w:rsidR="00DB4AC1" w:rsidRDefault="00DB4AC1" w:rsidP="00E47275">
      <w:pPr>
        <w:pStyle w:val="Ttulo1"/>
        <w:numPr>
          <w:ilvl w:val="1"/>
          <w:numId w:val="32"/>
        </w:numPr>
      </w:pPr>
      <w:bookmarkStart w:id="51" w:name="_Toc80090960"/>
      <w:bookmarkStart w:id="52" w:name="_Toc80177705"/>
      <w:r>
        <w:t>Resultados Esperados</w:t>
      </w:r>
      <w:bookmarkEnd w:id="51"/>
      <w:bookmarkEnd w:id="52"/>
    </w:p>
    <w:p w:rsidR="005E43F4" w:rsidRDefault="005E43F4" w:rsidP="005E43F4">
      <w:pPr>
        <w:spacing w:after="0" w:line="360" w:lineRule="auto"/>
        <w:rPr>
          <w:sz w:val="24"/>
          <w:szCs w:val="20"/>
        </w:rPr>
      </w:pPr>
    </w:p>
    <w:p w:rsidR="005E43F4" w:rsidRPr="005E43F4" w:rsidRDefault="005E43F4" w:rsidP="005E43F4">
      <w:pPr>
        <w:spacing w:after="0" w:line="360" w:lineRule="auto"/>
        <w:rPr>
          <w:b w:val="0"/>
          <w:bCs/>
          <w:sz w:val="24"/>
          <w:szCs w:val="20"/>
        </w:rPr>
      </w:pPr>
      <w:r w:rsidRPr="005E43F4">
        <w:rPr>
          <w:b w:val="0"/>
          <w:bCs/>
          <w:sz w:val="24"/>
          <w:szCs w:val="20"/>
        </w:rPr>
        <w:t>Los resultados esperados del PEI 2024 son dos y se encuentran alineados con los objetivos estratégicos. En ese orden, a continuación, se presenta una relación de los mismos.</w:t>
      </w:r>
    </w:p>
    <w:p w:rsidR="005E43F4" w:rsidRDefault="005E43F4" w:rsidP="005E43F4">
      <w:pPr>
        <w:spacing w:after="0" w:line="360" w:lineRule="auto"/>
        <w:rPr>
          <w:sz w:val="24"/>
          <w:szCs w:val="20"/>
        </w:rPr>
      </w:pPr>
    </w:p>
    <w:p w:rsidR="005E43F4" w:rsidRPr="005E43F4" w:rsidRDefault="005E43F4" w:rsidP="005E43F4">
      <w:pPr>
        <w:pStyle w:val="Prrafodelista"/>
        <w:numPr>
          <w:ilvl w:val="0"/>
          <w:numId w:val="38"/>
        </w:numPr>
        <w:spacing w:after="0" w:line="360" w:lineRule="auto"/>
        <w:rPr>
          <w:b w:val="0"/>
          <w:bCs/>
          <w:sz w:val="24"/>
          <w:szCs w:val="20"/>
        </w:rPr>
      </w:pPr>
      <w:r w:rsidRPr="005E43F4">
        <w:rPr>
          <w:sz w:val="24"/>
          <w:szCs w:val="20"/>
        </w:rPr>
        <w:t>Resultado Esperado No. 1 (RE1):</w:t>
      </w:r>
      <w:r w:rsidRPr="005E43F4">
        <w:rPr>
          <w:b w:val="0"/>
          <w:bCs/>
          <w:sz w:val="24"/>
          <w:szCs w:val="20"/>
        </w:rPr>
        <w:t xml:space="preserve"> Mejorada la regulación técnica del sector azucarero dominicano, en lo relativo a la producción, consumo sostenible y exportación del azúcar y los demás derivados de la caña</w:t>
      </w:r>
    </w:p>
    <w:p w:rsidR="005E43F4" w:rsidRPr="005E43F4" w:rsidRDefault="005E43F4" w:rsidP="005E43F4">
      <w:pPr>
        <w:pStyle w:val="Prrafodelista"/>
        <w:numPr>
          <w:ilvl w:val="0"/>
          <w:numId w:val="38"/>
        </w:numPr>
        <w:spacing w:after="0" w:line="360" w:lineRule="auto"/>
        <w:rPr>
          <w:b w:val="0"/>
          <w:bCs/>
          <w:sz w:val="24"/>
          <w:szCs w:val="20"/>
        </w:rPr>
      </w:pPr>
      <w:r w:rsidRPr="005E43F4">
        <w:rPr>
          <w:sz w:val="24"/>
          <w:szCs w:val="20"/>
        </w:rPr>
        <w:t>Resultado Esperado No. 2 (RE2):</w:t>
      </w:r>
      <w:r w:rsidRPr="005E43F4">
        <w:rPr>
          <w:b w:val="0"/>
          <w:bCs/>
          <w:sz w:val="24"/>
          <w:szCs w:val="20"/>
        </w:rPr>
        <w:t xml:space="preserve"> Fortalecidas las capacidades de gestión técnica, administrativa y logística del INAZUCAR.</w:t>
      </w:r>
    </w:p>
    <w:p w:rsidR="005E43F4" w:rsidRPr="005E43F4" w:rsidRDefault="005E43F4" w:rsidP="005E43F4">
      <w:pPr>
        <w:spacing w:after="0" w:line="360" w:lineRule="auto"/>
        <w:rPr>
          <w:b w:val="0"/>
          <w:bCs/>
          <w:sz w:val="24"/>
          <w:szCs w:val="20"/>
        </w:rPr>
      </w:pPr>
    </w:p>
    <w:p w:rsidR="00DB4AC1" w:rsidRDefault="00DB4AC1" w:rsidP="00E47275">
      <w:pPr>
        <w:pStyle w:val="Ttulo1"/>
        <w:numPr>
          <w:ilvl w:val="1"/>
          <w:numId w:val="32"/>
        </w:numPr>
      </w:pPr>
      <w:bookmarkStart w:id="53" w:name="_Toc80090961"/>
      <w:bookmarkStart w:id="54" w:name="_Toc80177706"/>
      <w:r>
        <w:t>Productos Entregables</w:t>
      </w:r>
      <w:bookmarkEnd w:id="53"/>
      <w:bookmarkEnd w:id="54"/>
    </w:p>
    <w:p w:rsidR="005E43F4" w:rsidRDefault="005E43F4" w:rsidP="005E43F4">
      <w:pPr>
        <w:spacing w:after="0" w:line="360" w:lineRule="auto"/>
        <w:rPr>
          <w:b w:val="0"/>
          <w:bCs/>
          <w:sz w:val="24"/>
          <w:szCs w:val="20"/>
        </w:rPr>
      </w:pPr>
    </w:p>
    <w:p w:rsidR="00A44027" w:rsidRDefault="00A44027" w:rsidP="005E43F4">
      <w:pPr>
        <w:spacing w:after="0" w:line="360" w:lineRule="auto"/>
        <w:rPr>
          <w:b w:val="0"/>
          <w:bCs/>
          <w:sz w:val="24"/>
          <w:szCs w:val="20"/>
        </w:rPr>
      </w:pPr>
      <w:r>
        <w:rPr>
          <w:b w:val="0"/>
          <w:bCs/>
          <w:sz w:val="24"/>
          <w:szCs w:val="20"/>
        </w:rPr>
        <w:t>Los productos entregables del PEI 2024 se ha definido en función de cada uno de los resultados esperados. De los siete productos, el 1.1 que corresponde al resultado esperado uno, impacta directamente en la misión y; productos numerados del 2.1 al 2.6 son intermedios. En tal sentido, los mismos suman siete, los cuales son descritos a continuación.</w:t>
      </w:r>
    </w:p>
    <w:p w:rsidR="00A44027" w:rsidRPr="00A44027" w:rsidRDefault="00A44027" w:rsidP="005E43F4">
      <w:pPr>
        <w:spacing w:after="0" w:line="360" w:lineRule="auto"/>
        <w:rPr>
          <w:sz w:val="24"/>
          <w:szCs w:val="20"/>
        </w:rPr>
      </w:pPr>
      <w:bookmarkStart w:id="55" w:name="_Hlk79674974"/>
      <w:r w:rsidRPr="00A44027">
        <w:rPr>
          <w:sz w:val="24"/>
          <w:szCs w:val="20"/>
        </w:rPr>
        <w:lastRenderedPageBreak/>
        <w:t>Producto Entregable del Resultados Esperado No. 1</w:t>
      </w:r>
    </w:p>
    <w:bookmarkEnd w:id="55"/>
    <w:p w:rsidR="00A44027" w:rsidRDefault="00A44027" w:rsidP="005E43F4">
      <w:pPr>
        <w:spacing w:after="0" w:line="360" w:lineRule="auto"/>
        <w:rPr>
          <w:b w:val="0"/>
          <w:bCs/>
          <w:sz w:val="24"/>
          <w:szCs w:val="20"/>
        </w:rPr>
      </w:pPr>
    </w:p>
    <w:p w:rsidR="005E43F4" w:rsidRPr="00A44027" w:rsidRDefault="00A44027" w:rsidP="00A44027">
      <w:pPr>
        <w:pStyle w:val="Prrafodelista"/>
        <w:numPr>
          <w:ilvl w:val="0"/>
          <w:numId w:val="40"/>
        </w:numPr>
        <w:spacing w:after="0" w:line="360" w:lineRule="auto"/>
        <w:rPr>
          <w:b w:val="0"/>
          <w:bCs/>
          <w:sz w:val="24"/>
          <w:szCs w:val="20"/>
        </w:rPr>
      </w:pPr>
      <w:bookmarkStart w:id="56" w:name="_Hlk79675010"/>
      <w:r w:rsidRPr="00A44027">
        <w:rPr>
          <w:sz w:val="24"/>
          <w:szCs w:val="20"/>
        </w:rPr>
        <w:t>Producto 1.1:</w:t>
      </w:r>
      <w:bookmarkEnd w:id="56"/>
      <w:r w:rsidRPr="00A44027">
        <w:rPr>
          <w:b w:val="0"/>
          <w:bCs/>
          <w:sz w:val="24"/>
          <w:szCs w:val="20"/>
        </w:rPr>
        <w:t>Sector azucarero recibe regulación técnica y asistencia mediante la emisión y supervisión de las normas de la política azucarera nacional.</w:t>
      </w:r>
    </w:p>
    <w:p w:rsidR="00A44027" w:rsidRDefault="00A44027" w:rsidP="005E43F4">
      <w:pPr>
        <w:spacing w:after="0" w:line="360" w:lineRule="auto"/>
        <w:rPr>
          <w:b w:val="0"/>
          <w:bCs/>
          <w:sz w:val="24"/>
          <w:szCs w:val="20"/>
        </w:rPr>
      </w:pPr>
    </w:p>
    <w:p w:rsidR="00A44027" w:rsidRPr="00A44027" w:rsidRDefault="00A44027" w:rsidP="00A44027">
      <w:pPr>
        <w:spacing w:after="0" w:line="360" w:lineRule="auto"/>
        <w:rPr>
          <w:sz w:val="24"/>
          <w:szCs w:val="20"/>
        </w:rPr>
      </w:pPr>
      <w:r w:rsidRPr="00A44027">
        <w:rPr>
          <w:sz w:val="24"/>
          <w:szCs w:val="20"/>
        </w:rPr>
        <w:t xml:space="preserve">Producto Entregable del Resultados Esperado No. </w:t>
      </w:r>
      <w:r>
        <w:rPr>
          <w:sz w:val="24"/>
          <w:szCs w:val="20"/>
        </w:rPr>
        <w:t>2</w:t>
      </w:r>
    </w:p>
    <w:p w:rsidR="00A44027" w:rsidRDefault="00A44027" w:rsidP="005E43F4">
      <w:pPr>
        <w:spacing w:after="0" w:line="360" w:lineRule="auto"/>
        <w:rPr>
          <w:b w:val="0"/>
          <w:bCs/>
          <w:sz w:val="24"/>
          <w:szCs w:val="20"/>
        </w:rPr>
      </w:pPr>
    </w:p>
    <w:p w:rsidR="00A44027" w:rsidRPr="00A44027" w:rsidRDefault="00A44027" w:rsidP="00A44027">
      <w:pPr>
        <w:pStyle w:val="Prrafodelista"/>
        <w:numPr>
          <w:ilvl w:val="0"/>
          <w:numId w:val="39"/>
        </w:numPr>
        <w:spacing w:after="0" w:line="360" w:lineRule="auto"/>
        <w:rPr>
          <w:b w:val="0"/>
          <w:bCs/>
          <w:sz w:val="24"/>
          <w:szCs w:val="20"/>
        </w:rPr>
      </w:pPr>
      <w:r w:rsidRPr="00A44027">
        <w:rPr>
          <w:sz w:val="24"/>
          <w:szCs w:val="20"/>
        </w:rPr>
        <w:t>Producto 2.1:</w:t>
      </w:r>
      <w:r w:rsidRPr="00A44027">
        <w:rPr>
          <w:b w:val="0"/>
          <w:bCs/>
          <w:sz w:val="24"/>
          <w:szCs w:val="20"/>
        </w:rPr>
        <w:t xml:space="preserve"> Procesos y procedimientos estandarizados.</w:t>
      </w:r>
    </w:p>
    <w:p w:rsidR="00A44027" w:rsidRPr="00A44027" w:rsidRDefault="00A44027" w:rsidP="00A44027">
      <w:pPr>
        <w:pStyle w:val="Prrafodelista"/>
        <w:numPr>
          <w:ilvl w:val="0"/>
          <w:numId w:val="39"/>
        </w:numPr>
        <w:spacing w:after="0" w:line="360" w:lineRule="auto"/>
        <w:rPr>
          <w:b w:val="0"/>
          <w:bCs/>
          <w:sz w:val="24"/>
          <w:szCs w:val="20"/>
        </w:rPr>
      </w:pPr>
      <w:r w:rsidRPr="00A44027">
        <w:rPr>
          <w:sz w:val="24"/>
          <w:szCs w:val="20"/>
        </w:rPr>
        <w:t>Producto 2.</w:t>
      </w:r>
      <w:r>
        <w:rPr>
          <w:sz w:val="24"/>
          <w:szCs w:val="20"/>
        </w:rPr>
        <w:t>2</w:t>
      </w:r>
      <w:r w:rsidRPr="00A44027">
        <w:rPr>
          <w:sz w:val="24"/>
          <w:szCs w:val="20"/>
        </w:rPr>
        <w:t>:</w:t>
      </w:r>
      <w:r w:rsidRPr="00A44027">
        <w:rPr>
          <w:b w:val="0"/>
          <w:bCs/>
          <w:sz w:val="24"/>
          <w:szCs w:val="20"/>
        </w:rPr>
        <w:t xml:space="preserve"> Servidores públicos del INAZUCAR capacitados en relación con sus funciones.</w:t>
      </w:r>
    </w:p>
    <w:p w:rsidR="00A44027" w:rsidRPr="00A44027" w:rsidRDefault="00A44027" w:rsidP="00A44027">
      <w:pPr>
        <w:pStyle w:val="Prrafodelista"/>
        <w:numPr>
          <w:ilvl w:val="0"/>
          <w:numId w:val="39"/>
        </w:numPr>
        <w:spacing w:after="0" w:line="360" w:lineRule="auto"/>
        <w:rPr>
          <w:b w:val="0"/>
          <w:bCs/>
          <w:sz w:val="24"/>
          <w:szCs w:val="20"/>
        </w:rPr>
      </w:pPr>
      <w:r w:rsidRPr="00A44027">
        <w:rPr>
          <w:sz w:val="24"/>
          <w:szCs w:val="20"/>
        </w:rPr>
        <w:t>Producto 2.</w:t>
      </w:r>
      <w:r>
        <w:rPr>
          <w:sz w:val="24"/>
          <w:szCs w:val="20"/>
        </w:rPr>
        <w:t>3</w:t>
      </w:r>
      <w:r w:rsidRPr="00A44027">
        <w:rPr>
          <w:sz w:val="24"/>
          <w:szCs w:val="20"/>
        </w:rPr>
        <w:t>:</w:t>
      </w:r>
      <w:r w:rsidRPr="00A44027">
        <w:rPr>
          <w:b w:val="0"/>
          <w:bCs/>
          <w:sz w:val="24"/>
          <w:szCs w:val="20"/>
        </w:rPr>
        <w:t xml:space="preserve"> Portal de transparencia del INAZUCAR disponible al público y actualizado conforme a la normativa de la DIFEIG y la OGTIC.</w:t>
      </w:r>
    </w:p>
    <w:p w:rsidR="00A44027" w:rsidRPr="00A44027" w:rsidRDefault="00A44027" w:rsidP="00A44027">
      <w:pPr>
        <w:pStyle w:val="Prrafodelista"/>
        <w:numPr>
          <w:ilvl w:val="0"/>
          <w:numId w:val="39"/>
        </w:numPr>
        <w:spacing w:after="0" w:line="360" w:lineRule="auto"/>
        <w:rPr>
          <w:b w:val="0"/>
          <w:bCs/>
          <w:sz w:val="24"/>
          <w:szCs w:val="20"/>
        </w:rPr>
      </w:pPr>
      <w:r w:rsidRPr="00A44027">
        <w:rPr>
          <w:sz w:val="24"/>
          <w:szCs w:val="20"/>
        </w:rPr>
        <w:t>Producto 2.</w:t>
      </w:r>
      <w:r>
        <w:rPr>
          <w:sz w:val="24"/>
          <w:szCs w:val="20"/>
        </w:rPr>
        <w:t>4</w:t>
      </w:r>
      <w:r w:rsidRPr="00A44027">
        <w:rPr>
          <w:sz w:val="24"/>
          <w:szCs w:val="20"/>
        </w:rPr>
        <w:t>:</w:t>
      </w:r>
      <w:r w:rsidRPr="00A44027">
        <w:rPr>
          <w:b w:val="0"/>
          <w:bCs/>
          <w:sz w:val="24"/>
          <w:szCs w:val="20"/>
        </w:rPr>
        <w:t xml:space="preserve"> Código de Ética y de Conducta del Servidor Público del INAZUCAR implementado.</w:t>
      </w:r>
    </w:p>
    <w:p w:rsidR="00A44027" w:rsidRPr="00A44027" w:rsidRDefault="00A44027" w:rsidP="00A44027">
      <w:pPr>
        <w:pStyle w:val="Prrafodelista"/>
        <w:numPr>
          <w:ilvl w:val="0"/>
          <w:numId w:val="39"/>
        </w:numPr>
        <w:spacing w:after="0" w:line="360" w:lineRule="auto"/>
        <w:rPr>
          <w:b w:val="0"/>
          <w:bCs/>
          <w:sz w:val="24"/>
          <w:szCs w:val="20"/>
        </w:rPr>
      </w:pPr>
      <w:r w:rsidRPr="00A44027">
        <w:rPr>
          <w:sz w:val="24"/>
          <w:szCs w:val="20"/>
        </w:rPr>
        <w:t>Producto 2.</w:t>
      </w:r>
      <w:r>
        <w:rPr>
          <w:sz w:val="24"/>
          <w:szCs w:val="20"/>
        </w:rPr>
        <w:t>5</w:t>
      </w:r>
      <w:r w:rsidRPr="00A44027">
        <w:rPr>
          <w:sz w:val="24"/>
          <w:szCs w:val="20"/>
        </w:rPr>
        <w:t>:</w:t>
      </w:r>
      <w:r w:rsidRPr="00A44027">
        <w:rPr>
          <w:b w:val="0"/>
          <w:bCs/>
          <w:sz w:val="24"/>
          <w:szCs w:val="20"/>
        </w:rPr>
        <w:t xml:space="preserve"> Solicitudes de información pública respondidas oportunamente.</w:t>
      </w:r>
    </w:p>
    <w:p w:rsidR="005E43F4" w:rsidRDefault="00A44027" w:rsidP="005E43F4">
      <w:pPr>
        <w:pStyle w:val="Prrafodelista"/>
        <w:numPr>
          <w:ilvl w:val="0"/>
          <w:numId w:val="39"/>
        </w:numPr>
        <w:spacing w:after="0" w:line="360" w:lineRule="auto"/>
        <w:rPr>
          <w:b w:val="0"/>
          <w:bCs/>
          <w:sz w:val="24"/>
          <w:szCs w:val="20"/>
        </w:rPr>
      </w:pPr>
      <w:r w:rsidRPr="00A44027">
        <w:rPr>
          <w:sz w:val="24"/>
          <w:szCs w:val="20"/>
        </w:rPr>
        <w:t>Producto 2.</w:t>
      </w:r>
      <w:r>
        <w:rPr>
          <w:sz w:val="24"/>
          <w:szCs w:val="20"/>
        </w:rPr>
        <w:t>6</w:t>
      </w:r>
      <w:r w:rsidRPr="00A44027">
        <w:rPr>
          <w:sz w:val="24"/>
          <w:szCs w:val="20"/>
        </w:rPr>
        <w:t>:</w:t>
      </w:r>
      <w:r w:rsidRPr="00A44027">
        <w:rPr>
          <w:b w:val="0"/>
          <w:bCs/>
          <w:sz w:val="24"/>
          <w:szCs w:val="20"/>
        </w:rPr>
        <w:t xml:space="preserve"> Instalaciones del INAZUCAR equipadas para el cumplimiento de su misión.</w:t>
      </w:r>
    </w:p>
    <w:p w:rsidR="007E79BF" w:rsidRDefault="007E79BF" w:rsidP="007E79BF">
      <w:pPr>
        <w:pStyle w:val="Prrafodelista"/>
        <w:spacing w:after="0" w:line="360" w:lineRule="auto"/>
        <w:rPr>
          <w:b w:val="0"/>
          <w:bCs/>
          <w:sz w:val="24"/>
          <w:szCs w:val="20"/>
        </w:rPr>
      </w:pPr>
    </w:p>
    <w:p w:rsidR="007E79BF" w:rsidRDefault="007E79BF" w:rsidP="007E79BF">
      <w:pPr>
        <w:pStyle w:val="Prrafodelista"/>
        <w:spacing w:after="0" w:line="360" w:lineRule="auto"/>
        <w:rPr>
          <w:b w:val="0"/>
          <w:bCs/>
          <w:sz w:val="24"/>
          <w:szCs w:val="20"/>
        </w:rPr>
      </w:pPr>
    </w:p>
    <w:p w:rsidR="007E79BF" w:rsidRDefault="007E79BF" w:rsidP="007E79BF">
      <w:pPr>
        <w:pStyle w:val="Prrafodelista"/>
        <w:spacing w:after="0" w:line="360" w:lineRule="auto"/>
        <w:rPr>
          <w:b w:val="0"/>
          <w:bCs/>
          <w:sz w:val="24"/>
          <w:szCs w:val="20"/>
        </w:rPr>
      </w:pPr>
    </w:p>
    <w:p w:rsidR="007E79BF" w:rsidRDefault="007E79BF" w:rsidP="007E79BF">
      <w:pPr>
        <w:pStyle w:val="Prrafodelista"/>
        <w:spacing w:after="0" w:line="360" w:lineRule="auto"/>
        <w:rPr>
          <w:b w:val="0"/>
          <w:bCs/>
          <w:sz w:val="24"/>
          <w:szCs w:val="20"/>
        </w:rPr>
      </w:pPr>
    </w:p>
    <w:p w:rsidR="007E79BF" w:rsidRDefault="007E79BF" w:rsidP="007E79BF">
      <w:pPr>
        <w:pStyle w:val="Prrafodelista"/>
        <w:spacing w:after="0" w:line="360" w:lineRule="auto"/>
        <w:rPr>
          <w:b w:val="0"/>
          <w:bCs/>
          <w:sz w:val="24"/>
          <w:szCs w:val="20"/>
        </w:rPr>
      </w:pPr>
    </w:p>
    <w:p w:rsidR="007E79BF" w:rsidRDefault="007E79BF" w:rsidP="007E79BF">
      <w:pPr>
        <w:pStyle w:val="Prrafodelista"/>
        <w:spacing w:after="0" w:line="360" w:lineRule="auto"/>
        <w:rPr>
          <w:b w:val="0"/>
          <w:bCs/>
          <w:sz w:val="24"/>
          <w:szCs w:val="20"/>
        </w:rPr>
      </w:pPr>
    </w:p>
    <w:p w:rsidR="007E79BF" w:rsidRDefault="007E79BF" w:rsidP="007E79BF">
      <w:pPr>
        <w:pStyle w:val="Prrafodelista"/>
        <w:spacing w:after="0" w:line="360" w:lineRule="auto"/>
        <w:rPr>
          <w:b w:val="0"/>
          <w:bCs/>
          <w:sz w:val="24"/>
          <w:szCs w:val="20"/>
        </w:rPr>
      </w:pPr>
    </w:p>
    <w:p w:rsidR="007E79BF" w:rsidRDefault="007E79BF" w:rsidP="007E79BF">
      <w:pPr>
        <w:pStyle w:val="Prrafodelista"/>
        <w:spacing w:after="0" w:line="360" w:lineRule="auto"/>
        <w:rPr>
          <w:b w:val="0"/>
          <w:bCs/>
          <w:sz w:val="24"/>
          <w:szCs w:val="20"/>
        </w:rPr>
      </w:pPr>
    </w:p>
    <w:p w:rsidR="007E79BF" w:rsidRDefault="007E79BF" w:rsidP="007E79BF">
      <w:pPr>
        <w:pStyle w:val="Prrafodelista"/>
        <w:spacing w:after="0" w:line="360" w:lineRule="auto"/>
        <w:rPr>
          <w:b w:val="0"/>
          <w:bCs/>
          <w:sz w:val="24"/>
          <w:szCs w:val="20"/>
        </w:rPr>
      </w:pPr>
    </w:p>
    <w:p w:rsidR="007E79BF" w:rsidRDefault="007E79BF" w:rsidP="007E79BF">
      <w:pPr>
        <w:pStyle w:val="Prrafodelista"/>
        <w:spacing w:after="0" w:line="360" w:lineRule="auto"/>
        <w:rPr>
          <w:b w:val="0"/>
          <w:bCs/>
          <w:sz w:val="24"/>
          <w:szCs w:val="20"/>
        </w:rPr>
      </w:pPr>
    </w:p>
    <w:p w:rsidR="007E79BF" w:rsidRDefault="007E79BF" w:rsidP="007E79BF">
      <w:pPr>
        <w:pStyle w:val="Prrafodelista"/>
        <w:spacing w:after="0" w:line="360" w:lineRule="auto"/>
        <w:rPr>
          <w:b w:val="0"/>
          <w:bCs/>
          <w:sz w:val="24"/>
          <w:szCs w:val="20"/>
        </w:rPr>
      </w:pPr>
    </w:p>
    <w:p w:rsidR="007E79BF" w:rsidRDefault="007E79BF" w:rsidP="007E79BF">
      <w:pPr>
        <w:pStyle w:val="Prrafodelista"/>
        <w:spacing w:after="0" w:line="360" w:lineRule="auto"/>
        <w:rPr>
          <w:b w:val="0"/>
          <w:bCs/>
          <w:sz w:val="24"/>
          <w:szCs w:val="20"/>
        </w:rPr>
      </w:pPr>
    </w:p>
    <w:p w:rsidR="007E79BF" w:rsidRPr="007E79BF" w:rsidRDefault="007E79BF" w:rsidP="007E79BF">
      <w:pPr>
        <w:pStyle w:val="Prrafodelista"/>
        <w:spacing w:after="0" w:line="360" w:lineRule="auto"/>
        <w:rPr>
          <w:b w:val="0"/>
          <w:bCs/>
          <w:sz w:val="24"/>
          <w:szCs w:val="20"/>
        </w:rPr>
      </w:pPr>
    </w:p>
    <w:p w:rsidR="007E79BF" w:rsidRDefault="007E79BF" w:rsidP="00E47275">
      <w:pPr>
        <w:pStyle w:val="Ttulo1"/>
        <w:numPr>
          <w:ilvl w:val="1"/>
          <w:numId w:val="32"/>
        </w:numPr>
        <w:sectPr w:rsidR="007E79BF">
          <w:pgSz w:w="12240" w:h="15840"/>
          <w:pgMar w:top="1440" w:right="1440" w:bottom="1440" w:left="1440" w:header="708" w:footer="708" w:gutter="0"/>
          <w:cols w:space="708"/>
          <w:docGrid w:linePitch="360"/>
        </w:sectPr>
      </w:pPr>
    </w:p>
    <w:p w:rsidR="002A3624" w:rsidRPr="002A3624" w:rsidRDefault="002A3624" w:rsidP="00E47275">
      <w:pPr>
        <w:pStyle w:val="Ttulo1"/>
        <w:numPr>
          <w:ilvl w:val="1"/>
          <w:numId w:val="32"/>
        </w:numPr>
      </w:pPr>
      <w:bookmarkStart w:id="57" w:name="_Toc80090962"/>
      <w:bookmarkStart w:id="58" w:name="_Toc80177707"/>
      <w:r>
        <w:lastRenderedPageBreak/>
        <w:t>Matriz de Estratégica</w:t>
      </w:r>
      <w:bookmarkEnd w:id="57"/>
      <w:bookmarkEnd w:id="58"/>
    </w:p>
    <w:p w:rsidR="00DB4AC1" w:rsidRDefault="00DB4AC1" w:rsidP="007E79BF">
      <w:pPr>
        <w:spacing w:after="0" w:line="360" w:lineRule="auto"/>
        <w:rPr>
          <w:b w:val="0"/>
          <w:bCs/>
          <w:sz w:val="24"/>
          <w:szCs w:val="20"/>
        </w:rPr>
      </w:pPr>
    </w:p>
    <w:tbl>
      <w:tblPr>
        <w:tblStyle w:val="Tablaconcuadrcula"/>
        <w:tblW w:w="0" w:type="auto"/>
        <w:tblLook w:val="0000"/>
      </w:tblPr>
      <w:tblGrid>
        <w:gridCol w:w="2122"/>
        <w:gridCol w:w="2126"/>
        <w:gridCol w:w="2835"/>
        <w:gridCol w:w="3580"/>
        <w:gridCol w:w="2287"/>
      </w:tblGrid>
      <w:tr w:rsidR="00356F32" w:rsidRPr="00356F32" w:rsidTr="00E77997">
        <w:trPr>
          <w:trHeight w:val="372"/>
        </w:trPr>
        <w:tc>
          <w:tcPr>
            <w:tcW w:w="12950" w:type="dxa"/>
            <w:gridSpan w:val="5"/>
          </w:tcPr>
          <w:p w:rsidR="00356F32" w:rsidRPr="00356F32" w:rsidRDefault="00356F32" w:rsidP="00356F32">
            <w:pPr>
              <w:spacing w:line="360" w:lineRule="auto"/>
              <w:jc w:val="center"/>
              <w:rPr>
                <w:bCs/>
                <w:sz w:val="24"/>
                <w:szCs w:val="20"/>
              </w:rPr>
            </w:pPr>
            <w:r w:rsidRPr="00356F32">
              <w:rPr>
                <w:bCs/>
                <w:sz w:val="24"/>
                <w:szCs w:val="20"/>
              </w:rPr>
              <w:t>Tabla No. IV: Matriz de Planificación del PEI 2024</w:t>
            </w:r>
          </w:p>
        </w:tc>
      </w:tr>
      <w:tr w:rsidR="00356F32" w:rsidRPr="00356F32" w:rsidTr="00E77997">
        <w:trPr>
          <w:trHeight w:val="372"/>
        </w:trPr>
        <w:tc>
          <w:tcPr>
            <w:tcW w:w="12950" w:type="dxa"/>
            <w:gridSpan w:val="5"/>
          </w:tcPr>
          <w:p w:rsidR="00356F32" w:rsidRPr="00356F32" w:rsidRDefault="00356F32" w:rsidP="00356F32">
            <w:pPr>
              <w:spacing w:line="360" w:lineRule="auto"/>
              <w:jc w:val="center"/>
              <w:rPr>
                <w:bCs/>
                <w:sz w:val="24"/>
                <w:szCs w:val="20"/>
              </w:rPr>
            </w:pPr>
            <w:r w:rsidRPr="00356F32">
              <w:rPr>
                <w:bCs/>
                <w:sz w:val="24"/>
                <w:szCs w:val="20"/>
              </w:rPr>
              <w:t>Eje Estratégico: Eje Estratégico No. 1.- Políticas, Estudios y Regulación</w:t>
            </w:r>
          </w:p>
        </w:tc>
      </w:tr>
      <w:tr w:rsidR="00356F32" w:rsidRPr="00356F32" w:rsidTr="00E77997">
        <w:trPr>
          <w:trHeight w:val="372"/>
        </w:trPr>
        <w:tc>
          <w:tcPr>
            <w:tcW w:w="12950" w:type="dxa"/>
            <w:gridSpan w:val="5"/>
          </w:tcPr>
          <w:p w:rsidR="00356F32" w:rsidRPr="00356F32" w:rsidRDefault="00356F32" w:rsidP="00356F32">
            <w:pPr>
              <w:spacing w:line="360" w:lineRule="auto"/>
              <w:rPr>
                <w:bCs/>
                <w:sz w:val="24"/>
                <w:szCs w:val="20"/>
              </w:rPr>
            </w:pPr>
            <w:r w:rsidRPr="00356F32">
              <w:rPr>
                <w:bCs/>
                <w:sz w:val="24"/>
                <w:szCs w:val="20"/>
              </w:rPr>
              <w:t xml:space="preserve">Misión: </w:t>
            </w:r>
            <w:r w:rsidRPr="00356F32">
              <w:rPr>
                <w:b w:val="0"/>
                <w:sz w:val="24"/>
                <w:szCs w:val="20"/>
              </w:rPr>
              <w:t>Contribuir con la seguridad y la soberanía alimentaria de la República Dominicana, así como también con la consolidación de una economía sostenible, por medio del ejercicio de la regulación técnica del sector azucarero; recomendando al Poder Ejecutivo las normas de la política azucarera nacional en todos sus aspectos; velando por el cumplimiento del marco normativo; colaborando con las relaciones internacionales en el marco de la producción y comercialización de productos derivados de la caña de azúcar.</w:t>
            </w:r>
          </w:p>
        </w:tc>
      </w:tr>
      <w:tr w:rsidR="00356F32" w:rsidRPr="00356F32" w:rsidTr="00E77997">
        <w:trPr>
          <w:trHeight w:val="372"/>
        </w:trPr>
        <w:tc>
          <w:tcPr>
            <w:tcW w:w="12950" w:type="dxa"/>
            <w:gridSpan w:val="5"/>
          </w:tcPr>
          <w:p w:rsidR="00356F32" w:rsidRPr="00356F32" w:rsidRDefault="00356F32" w:rsidP="00356F32">
            <w:pPr>
              <w:spacing w:line="360" w:lineRule="auto"/>
              <w:rPr>
                <w:bCs/>
                <w:sz w:val="24"/>
                <w:szCs w:val="20"/>
              </w:rPr>
            </w:pPr>
            <w:r w:rsidRPr="00356F32">
              <w:rPr>
                <w:bCs/>
                <w:sz w:val="24"/>
                <w:szCs w:val="20"/>
              </w:rPr>
              <w:t xml:space="preserve">Visión 20224: </w:t>
            </w:r>
            <w:r w:rsidRPr="00356F32">
              <w:rPr>
                <w:b w:val="0"/>
                <w:sz w:val="24"/>
                <w:szCs w:val="20"/>
              </w:rPr>
              <w:t>Ser una institución pública con elevados niveles de calidad, eficiencia y transparencia; que responde equilibrada, equitativa y oportunamente a las necesidades de los diferentes actores del sector azucarero, así como a los requerimientos del mercado nacional e internacional; técnicamente competitiva, tanto en el país como en el marco de los organismos internacionales; y, que promueve la sostenibilidad ambiental, social y económica.</w:t>
            </w:r>
          </w:p>
        </w:tc>
      </w:tr>
      <w:tr w:rsidR="00356F32" w:rsidRPr="00356F32" w:rsidTr="00E77997">
        <w:trPr>
          <w:trHeight w:val="372"/>
        </w:trPr>
        <w:tc>
          <w:tcPr>
            <w:tcW w:w="12950" w:type="dxa"/>
            <w:gridSpan w:val="5"/>
          </w:tcPr>
          <w:p w:rsidR="00356F32" w:rsidRPr="00356F32" w:rsidRDefault="00356F32" w:rsidP="00356F32">
            <w:pPr>
              <w:spacing w:line="360" w:lineRule="auto"/>
              <w:rPr>
                <w:bCs/>
                <w:sz w:val="24"/>
                <w:szCs w:val="20"/>
              </w:rPr>
            </w:pPr>
            <w:r w:rsidRPr="00356F32">
              <w:rPr>
                <w:bCs/>
                <w:sz w:val="24"/>
                <w:szCs w:val="20"/>
              </w:rPr>
              <w:t xml:space="preserve">Objetivo General: </w:t>
            </w:r>
            <w:r w:rsidRPr="00356F32">
              <w:rPr>
                <w:b w:val="0"/>
                <w:sz w:val="24"/>
                <w:szCs w:val="20"/>
              </w:rPr>
              <w:t>Contribuir con el aumento de la producción azucarera</w:t>
            </w:r>
            <w:r>
              <w:rPr>
                <w:b w:val="0"/>
                <w:sz w:val="24"/>
                <w:szCs w:val="20"/>
              </w:rPr>
              <w:t xml:space="preserve"> y la estabilidad del sector azucarero nacional</w:t>
            </w:r>
            <w:r w:rsidRPr="00356F32">
              <w:rPr>
                <w:b w:val="0"/>
                <w:sz w:val="24"/>
                <w:szCs w:val="20"/>
              </w:rPr>
              <w:t>, garantizando servicios, regulación técnica y asistencia con altos niveles de calidad.</w:t>
            </w:r>
          </w:p>
        </w:tc>
      </w:tr>
      <w:tr w:rsidR="00637DA3" w:rsidRPr="00356F32" w:rsidTr="00E62D6D">
        <w:tblPrEx>
          <w:tblLook w:val="04A0"/>
        </w:tblPrEx>
        <w:tc>
          <w:tcPr>
            <w:tcW w:w="2122" w:type="dxa"/>
          </w:tcPr>
          <w:p w:rsidR="00356F32" w:rsidRPr="00356F32" w:rsidRDefault="00356F32" w:rsidP="00637DA3">
            <w:pPr>
              <w:spacing w:line="360" w:lineRule="auto"/>
              <w:jc w:val="center"/>
              <w:rPr>
                <w:bCs/>
                <w:sz w:val="24"/>
                <w:szCs w:val="20"/>
              </w:rPr>
            </w:pPr>
            <w:r w:rsidRPr="00356F32">
              <w:rPr>
                <w:bCs/>
                <w:sz w:val="24"/>
                <w:szCs w:val="20"/>
              </w:rPr>
              <w:t>Objetivo Estratégico</w:t>
            </w:r>
          </w:p>
        </w:tc>
        <w:tc>
          <w:tcPr>
            <w:tcW w:w="2126" w:type="dxa"/>
          </w:tcPr>
          <w:p w:rsidR="00356F32" w:rsidRPr="00356F32" w:rsidRDefault="00356F32" w:rsidP="00637DA3">
            <w:pPr>
              <w:spacing w:line="360" w:lineRule="auto"/>
              <w:jc w:val="center"/>
              <w:rPr>
                <w:bCs/>
                <w:sz w:val="24"/>
                <w:szCs w:val="20"/>
              </w:rPr>
            </w:pPr>
            <w:r w:rsidRPr="00356F32">
              <w:rPr>
                <w:bCs/>
                <w:sz w:val="24"/>
                <w:szCs w:val="20"/>
              </w:rPr>
              <w:t>Resultados Esperados</w:t>
            </w:r>
          </w:p>
        </w:tc>
        <w:tc>
          <w:tcPr>
            <w:tcW w:w="2835" w:type="dxa"/>
          </w:tcPr>
          <w:p w:rsidR="00356F32" w:rsidRPr="00356F32" w:rsidRDefault="00356F32" w:rsidP="00637DA3">
            <w:pPr>
              <w:spacing w:line="360" w:lineRule="auto"/>
              <w:jc w:val="center"/>
              <w:rPr>
                <w:bCs/>
                <w:sz w:val="24"/>
                <w:szCs w:val="20"/>
              </w:rPr>
            </w:pPr>
            <w:r w:rsidRPr="00356F32">
              <w:rPr>
                <w:bCs/>
                <w:sz w:val="24"/>
                <w:szCs w:val="20"/>
              </w:rPr>
              <w:t>Productos Entregables</w:t>
            </w:r>
          </w:p>
        </w:tc>
        <w:tc>
          <w:tcPr>
            <w:tcW w:w="3580" w:type="dxa"/>
          </w:tcPr>
          <w:p w:rsidR="00356F32" w:rsidRPr="00356F32" w:rsidRDefault="00356F32" w:rsidP="00637DA3">
            <w:pPr>
              <w:spacing w:line="360" w:lineRule="auto"/>
              <w:jc w:val="center"/>
              <w:rPr>
                <w:bCs/>
                <w:sz w:val="24"/>
                <w:szCs w:val="20"/>
              </w:rPr>
            </w:pPr>
            <w:r w:rsidRPr="00356F32">
              <w:rPr>
                <w:bCs/>
                <w:sz w:val="24"/>
                <w:szCs w:val="20"/>
              </w:rPr>
              <w:t>Acciones Estratégicas</w:t>
            </w:r>
          </w:p>
        </w:tc>
        <w:tc>
          <w:tcPr>
            <w:tcW w:w="2287" w:type="dxa"/>
          </w:tcPr>
          <w:p w:rsidR="00356F32" w:rsidRPr="00356F32" w:rsidRDefault="00356F32" w:rsidP="00637DA3">
            <w:pPr>
              <w:spacing w:line="360" w:lineRule="auto"/>
              <w:jc w:val="center"/>
              <w:rPr>
                <w:bCs/>
                <w:sz w:val="24"/>
                <w:szCs w:val="20"/>
              </w:rPr>
            </w:pPr>
            <w:r w:rsidRPr="00356F32">
              <w:rPr>
                <w:bCs/>
                <w:sz w:val="24"/>
                <w:szCs w:val="20"/>
              </w:rPr>
              <w:t>Supuestos</w:t>
            </w:r>
          </w:p>
        </w:tc>
      </w:tr>
      <w:tr w:rsidR="00356F32" w:rsidRPr="00356F32" w:rsidTr="00E62D6D">
        <w:tblPrEx>
          <w:tblLook w:val="04A0"/>
        </w:tblPrEx>
        <w:tc>
          <w:tcPr>
            <w:tcW w:w="2122" w:type="dxa"/>
            <w:tcBorders>
              <w:bottom w:val="nil"/>
            </w:tcBorders>
          </w:tcPr>
          <w:p w:rsidR="00356F32" w:rsidRPr="00356F32" w:rsidRDefault="00356F32" w:rsidP="00356F32">
            <w:pPr>
              <w:spacing w:line="360" w:lineRule="auto"/>
              <w:rPr>
                <w:b w:val="0"/>
                <w:sz w:val="24"/>
                <w:szCs w:val="20"/>
              </w:rPr>
            </w:pPr>
            <w:r w:rsidRPr="00356F32">
              <w:rPr>
                <w:b w:val="0"/>
                <w:sz w:val="24"/>
                <w:szCs w:val="20"/>
              </w:rPr>
              <w:t>OE1: Fortalecer la regulación y vigilancia de la política azucarera a nivel nacional.</w:t>
            </w:r>
          </w:p>
        </w:tc>
        <w:tc>
          <w:tcPr>
            <w:tcW w:w="2126" w:type="dxa"/>
          </w:tcPr>
          <w:p w:rsidR="00356F32" w:rsidRPr="00356F32" w:rsidRDefault="00356F32" w:rsidP="00356F32">
            <w:pPr>
              <w:spacing w:line="360" w:lineRule="auto"/>
              <w:rPr>
                <w:b w:val="0"/>
                <w:sz w:val="24"/>
                <w:szCs w:val="20"/>
              </w:rPr>
            </w:pPr>
            <w:r w:rsidRPr="00356F32">
              <w:rPr>
                <w:b w:val="0"/>
                <w:sz w:val="24"/>
                <w:szCs w:val="20"/>
              </w:rPr>
              <w:t xml:space="preserve">RE1: Mejorada la regulación técnica del sector azucarero dominicano, en lo </w:t>
            </w:r>
            <w:r w:rsidRPr="00356F32">
              <w:rPr>
                <w:b w:val="0"/>
                <w:sz w:val="24"/>
                <w:szCs w:val="20"/>
              </w:rPr>
              <w:lastRenderedPageBreak/>
              <w:t>relativo a la producción, consumo sostenible y exportación del azúcar y los demás derivados de la caña</w:t>
            </w:r>
          </w:p>
        </w:tc>
        <w:tc>
          <w:tcPr>
            <w:tcW w:w="2835" w:type="dxa"/>
          </w:tcPr>
          <w:p w:rsidR="00356F32" w:rsidRPr="00356F32" w:rsidRDefault="00356F32" w:rsidP="00356F32">
            <w:pPr>
              <w:spacing w:line="360" w:lineRule="auto"/>
              <w:rPr>
                <w:b w:val="0"/>
                <w:sz w:val="24"/>
                <w:szCs w:val="20"/>
              </w:rPr>
            </w:pPr>
            <w:r w:rsidRPr="00356F32">
              <w:rPr>
                <w:b w:val="0"/>
                <w:sz w:val="24"/>
                <w:szCs w:val="20"/>
              </w:rPr>
              <w:lastRenderedPageBreak/>
              <w:t xml:space="preserve">Producto 1.1: Sector azucarero recibe regulación técnica y asistencia mediante la emisión y supervisión de </w:t>
            </w:r>
            <w:r w:rsidRPr="00356F32">
              <w:rPr>
                <w:b w:val="0"/>
                <w:sz w:val="24"/>
                <w:szCs w:val="20"/>
              </w:rPr>
              <w:lastRenderedPageBreak/>
              <w:t>las normas de la política azucarera nacional.</w:t>
            </w:r>
          </w:p>
          <w:p w:rsidR="00356F32" w:rsidRPr="00356F32" w:rsidRDefault="00356F32" w:rsidP="00356F32">
            <w:pPr>
              <w:spacing w:line="360" w:lineRule="auto"/>
              <w:rPr>
                <w:b w:val="0"/>
                <w:sz w:val="24"/>
                <w:szCs w:val="20"/>
              </w:rPr>
            </w:pPr>
          </w:p>
        </w:tc>
        <w:tc>
          <w:tcPr>
            <w:tcW w:w="3580" w:type="dxa"/>
          </w:tcPr>
          <w:p w:rsidR="00356F32" w:rsidRPr="00356F32" w:rsidRDefault="00356F32" w:rsidP="00356F32">
            <w:pPr>
              <w:spacing w:line="360" w:lineRule="auto"/>
              <w:rPr>
                <w:b w:val="0"/>
                <w:sz w:val="24"/>
                <w:szCs w:val="20"/>
              </w:rPr>
            </w:pPr>
            <w:r w:rsidRPr="00356F32">
              <w:rPr>
                <w:b w:val="0"/>
                <w:sz w:val="24"/>
                <w:szCs w:val="20"/>
              </w:rPr>
              <w:lastRenderedPageBreak/>
              <w:t>AE1.1.1. Fortalecimiento de los procesos de regulación técnica y vigilancia.</w:t>
            </w:r>
          </w:p>
          <w:p w:rsidR="00356F32" w:rsidRPr="00356F32" w:rsidRDefault="00356F32" w:rsidP="00356F32">
            <w:pPr>
              <w:spacing w:line="360" w:lineRule="auto"/>
              <w:rPr>
                <w:b w:val="0"/>
                <w:sz w:val="24"/>
                <w:szCs w:val="20"/>
              </w:rPr>
            </w:pPr>
          </w:p>
          <w:p w:rsidR="00356F32" w:rsidRPr="00356F32" w:rsidRDefault="00356F32" w:rsidP="00356F32">
            <w:pPr>
              <w:spacing w:line="360" w:lineRule="auto"/>
              <w:rPr>
                <w:b w:val="0"/>
                <w:sz w:val="24"/>
                <w:szCs w:val="20"/>
              </w:rPr>
            </w:pPr>
            <w:r w:rsidRPr="00356F32">
              <w:rPr>
                <w:b w:val="0"/>
                <w:sz w:val="24"/>
                <w:szCs w:val="20"/>
              </w:rPr>
              <w:t xml:space="preserve">AE1.1.2. Desarrollo de un </w:t>
            </w:r>
            <w:r w:rsidRPr="00356F32">
              <w:rPr>
                <w:b w:val="0"/>
                <w:sz w:val="24"/>
                <w:szCs w:val="20"/>
              </w:rPr>
              <w:lastRenderedPageBreak/>
              <w:t>observatorio de la caña, para el monitoreo de la producción, el mercado, así como la emisión y aplicación de las normas regulatorias del sector azucarero.</w:t>
            </w:r>
          </w:p>
          <w:p w:rsidR="00356F32" w:rsidRPr="00356F32" w:rsidRDefault="00356F32" w:rsidP="00356F32">
            <w:pPr>
              <w:spacing w:line="360" w:lineRule="auto"/>
              <w:rPr>
                <w:b w:val="0"/>
                <w:sz w:val="24"/>
                <w:szCs w:val="20"/>
              </w:rPr>
            </w:pPr>
          </w:p>
          <w:p w:rsidR="00356F32" w:rsidRPr="00356F32" w:rsidRDefault="00356F32" w:rsidP="00356F32">
            <w:pPr>
              <w:spacing w:line="360" w:lineRule="auto"/>
              <w:rPr>
                <w:b w:val="0"/>
                <w:sz w:val="24"/>
                <w:szCs w:val="20"/>
              </w:rPr>
            </w:pPr>
            <w:r w:rsidRPr="00356F32">
              <w:rPr>
                <w:b w:val="0"/>
                <w:sz w:val="24"/>
                <w:szCs w:val="20"/>
              </w:rPr>
              <w:t>AE1.1.3. Formulación y entrega al Poder Ejecutivo las propuestas de normas regulatorias del sector azucarero, cuya promulgación es de su exclusiva competencia.</w:t>
            </w:r>
          </w:p>
          <w:p w:rsidR="00356F32" w:rsidRPr="00356F32" w:rsidRDefault="00356F32" w:rsidP="00356F32">
            <w:pPr>
              <w:spacing w:line="360" w:lineRule="auto"/>
              <w:rPr>
                <w:b w:val="0"/>
                <w:sz w:val="24"/>
                <w:szCs w:val="20"/>
              </w:rPr>
            </w:pPr>
          </w:p>
          <w:p w:rsidR="00356F32" w:rsidRPr="00356F32" w:rsidRDefault="00356F32" w:rsidP="00356F32">
            <w:pPr>
              <w:spacing w:line="360" w:lineRule="auto"/>
              <w:rPr>
                <w:b w:val="0"/>
                <w:sz w:val="24"/>
                <w:szCs w:val="20"/>
              </w:rPr>
            </w:pPr>
            <w:r w:rsidRPr="00356F32">
              <w:rPr>
                <w:b w:val="0"/>
                <w:sz w:val="24"/>
                <w:szCs w:val="20"/>
              </w:rPr>
              <w:t>AE1.1.4. Emisión la norma de revisión de precios del azúcar anualmente, conforme al marco legal.</w:t>
            </w:r>
          </w:p>
          <w:p w:rsidR="00356F32" w:rsidRPr="00356F32" w:rsidRDefault="00356F32" w:rsidP="00356F32">
            <w:pPr>
              <w:spacing w:line="360" w:lineRule="auto"/>
              <w:rPr>
                <w:b w:val="0"/>
                <w:sz w:val="24"/>
                <w:szCs w:val="20"/>
              </w:rPr>
            </w:pPr>
          </w:p>
          <w:p w:rsidR="00356F32" w:rsidRDefault="00356F32" w:rsidP="00356F32">
            <w:pPr>
              <w:spacing w:line="360" w:lineRule="auto"/>
              <w:rPr>
                <w:b w:val="0"/>
                <w:sz w:val="24"/>
                <w:szCs w:val="20"/>
              </w:rPr>
            </w:pPr>
            <w:r w:rsidRPr="00356F32">
              <w:rPr>
                <w:b w:val="0"/>
                <w:sz w:val="24"/>
                <w:szCs w:val="20"/>
              </w:rPr>
              <w:t>AE1.1.5. Vigilancia del cumplimiento de las normas de la política azucarera nacional, mediante procesos de supervisión y asistencia técnica.</w:t>
            </w:r>
          </w:p>
          <w:p w:rsidR="00277687" w:rsidRPr="00356F32" w:rsidRDefault="00277687" w:rsidP="00356F32">
            <w:pPr>
              <w:spacing w:line="360" w:lineRule="auto"/>
              <w:rPr>
                <w:b w:val="0"/>
                <w:sz w:val="24"/>
                <w:szCs w:val="20"/>
              </w:rPr>
            </w:pPr>
            <w:r>
              <w:rPr>
                <w:b w:val="0"/>
                <w:sz w:val="24"/>
                <w:szCs w:val="20"/>
              </w:rPr>
              <w:lastRenderedPageBreak/>
              <w:t>AE1.1.6. Autorizar los permisos de exportación e importación de azúcar.</w:t>
            </w:r>
          </w:p>
        </w:tc>
        <w:tc>
          <w:tcPr>
            <w:tcW w:w="2287" w:type="dxa"/>
          </w:tcPr>
          <w:p w:rsidR="00356F32" w:rsidRPr="00356F32" w:rsidRDefault="00356F32" w:rsidP="00356F32">
            <w:pPr>
              <w:spacing w:line="360" w:lineRule="auto"/>
              <w:rPr>
                <w:b w:val="0"/>
                <w:sz w:val="24"/>
                <w:szCs w:val="20"/>
              </w:rPr>
            </w:pPr>
            <w:r w:rsidRPr="00356F32">
              <w:rPr>
                <w:b w:val="0"/>
                <w:sz w:val="24"/>
                <w:szCs w:val="20"/>
              </w:rPr>
              <w:lastRenderedPageBreak/>
              <w:t xml:space="preserve">Se mantiene la estabilidad económica en el país. </w:t>
            </w:r>
          </w:p>
          <w:p w:rsidR="00356F32" w:rsidRPr="00356F32" w:rsidRDefault="00356F32" w:rsidP="00356F32">
            <w:pPr>
              <w:spacing w:line="360" w:lineRule="auto"/>
              <w:rPr>
                <w:b w:val="0"/>
                <w:sz w:val="24"/>
                <w:szCs w:val="20"/>
              </w:rPr>
            </w:pPr>
          </w:p>
          <w:p w:rsidR="00356F32" w:rsidRPr="00356F32" w:rsidRDefault="00356F32" w:rsidP="00356F32">
            <w:pPr>
              <w:spacing w:line="360" w:lineRule="auto"/>
              <w:rPr>
                <w:b w:val="0"/>
                <w:sz w:val="24"/>
                <w:szCs w:val="20"/>
              </w:rPr>
            </w:pPr>
            <w:r w:rsidRPr="00356F32">
              <w:rPr>
                <w:b w:val="0"/>
                <w:sz w:val="24"/>
                <w:szCs w:val="20"/>
              </w:rPr>
              <w:lastRenderedPageBreak/>
              <w:t>Se mantienen controlados los efectos del cambio climático en el país.</w:t>
            </w:r>
          </w:p>
          <w:p w:rsidR="00356F32" w:rsidRPr="00356F32" w:rsidRDefault="00356F32" w:rsidP="00356F32">
            <w:pPr>
              <w:spacing w:line="360" w:lineRule="auto"/>
              <w:rPr>
                <w:b w:val="0"/>
                <w:sz w:val="24"/>
                <w:szCs w:val="20"/>
              </w:rPr>
            </w:pPr>
          </w:p>
          <w:p w:rsidR="00356F32" w:rsidRPr="00356F32" w:rsidRDefault="00356F32" w:rsidP="00356F32">
            <w:pPr>
              <w:spacing w:line="360" w:lineRule="auto"/>
              <w:rPr>
                <w:b w:val="0"/>
                <w:sz w:val="24"/>
                <w:szCs w:val="20"/>
              </w:rPr>
            </w:pPr>
            <w:r w:rsidRPr="00356F32">
              <w:rPr>
                <w:b w:val="0"/>
                <w:sz w:val="24"/>
                <w:szCs w:val="20"/>
              </w:rPr>
              <w:t>República Dominicana mantiene relaciones internacionales saludables, relativas al azúcar y los demás derivados de la caña.   Se mantiene la estabilidad ambiental en país.</w:t>
            </w:r>
          </w:p>
          <w:p w:rsidR="00356F32" w:rsidRPr="00356F32" w:rsidRDefault="00356F32" w:rsidP="00356F32">
            <w:pPr>
              <w:spacing w:line="360" w:lineRule="auto"/>
              <w:rPr>
                <w:b w:val="0"/>
                <w:sz w:val="24"/>
                <w:szCs w:val="20"/>
              </w:rPr>
            </w:pPr>
            <w:r w:rsidRPr="00356F32">
              <w:rPr>
                <w:b w:val="0"/>
                <w:sz w:val="24"/>
                <w:szCs w:val="20"/>
              </w:rPr>
              <w:t>Actores del sector azucarero comprenden la importancia de fortalecer la regulación de la política azucarera.</w:t>
            </w:r>
          </w:p>
        </w:tc>
      </w:tr>
      <w:tr w:rsidR="00356F32" w:rsidRPr="00356F32" w:rsidTr="00E62D6D">
        <w:tblPrEx>
          <w:tblLook w:val="04A0"/>
        </w:tblPrEx>
        <w:tc>
          <w:tcPr>
            <w:tcW w:w="2122" w:type="dxa"/>
            <w:vMerge w:val="restart"/>
            <w:tcBorders>
              <w:top w:val="nil"/>
            </w:tcBorders>
          </w:tcPr>
          <w:p w:rsidR="00356F32" w:rsidRPr="00356F32" w:rsidRDefault="00356F32" w:rsidP="00356F32">
            <w:pPr>
              <w:spacing w:line="360" w:lineRule="auto"/>
              <w:rPr>
                <w:b w:val="0"/>
                <w:sz w:val="24"/>
                <w:szCs w:val="20"/>
              </w:rPr>
            </w:pPr>
          </w:p>
        </w:tc>
        <w:tc>
          <w:tcPr>
            <w:tcW w:w="2126" w:type="dxa"/>
            <w:vMerge w:val="restart"/>
          </w:tcPr>
          <w:p w:rsidR="00356F32" w:rsidRPr="00356F32" w:rsidRDefault="00356F32" w:rsidP="00356F32">
            <w:pPr>
              <w:spacing w:line="360" w:lineRule="auto"/>
              <w:rPr>
                <w:b w:val="0"/>
                <w:sz w:val="24"/>
                <w:szCs w:val="20"/>
              </w:rPr>
            </w:pPr>
            <w:r w:rsidRPr="00356F32">
              <w:rPr>
                <w:b w:val="0"/>
                <w:sz w:val="24"/>
                <w:szCs w:val="20"/>
              </w:rPr>
              <w:t>RE2: Fortalecidas las capacidades de gestión técnica, administrativa y logística del INAZUCAR.</w:t>
            </w:r>
          </w:p>
        </w:tc>
        <w:tc>
          <w:tcPr>
            <w:tcW w:w="2835" w:type="dxa"/>
          </w:tcPr>
          <w:p w:rsidR="00356F32" w:rsidRPr="00356F32" w:rsidRDefault="00356F32" w:rsidP="00356F32">
            <w:pPr>
              <w:spacing w:line="360" w:lineRule="auto"/>
              <w:rPr>
                <w:b w:val="0"/>
                <w:sz w:val="24"/>
                <w:szCs w:val="20"/>
              </w:rPr>
            </w:pPr>
            <w:r w:rsidRPr="00356F32">
              <w:rPr>
                <w:b w:val="0"/>
                <w:sz w:val="24"/>
                <w:szCs w:val="20"/>
              </w:rPr>
              <w:t>Producto 2.1: Procesos y procedimientos estandarizados.</w:t>
            </w:r>
          </w:p>
        </w:tc>
        <w:tc>
          <w:tcPr>
            <w:tcW w:w="3580" w:type="dxa"/>
          </w:tcPr>
          <w:p w:rsidR="00356F32" w:rsidRPr="00356F32" w:rsidRDefault="00356F32" w:rsidP="00356F32">
            <w:pPr>
              <w:spacing w:line="360" w:lineRule="auto"/>
              <w:rPr>
                <w:b w:val="0"/>
                <w:sz w:val="24"/>
                <w:szCs w:val="20"/>
              </w:rPr>
            </w:pPr>
            <w:r w:rsidRPr="00356F32">
              <w:rPr>
                <w:b w:val="0"/>
                <w:sz w:val="24"/>
                <w:szCs w:val="20"/>
              </w:rPr>
              <w:t>AE2.1.1. Mejora de procesos y procedimientos de gestión institucional.</w:t>
            </w:r>
          </w:p>
        </w:tc>
        <w:tc>
          <w:tcPr>
            <w:tcW w:w="2287" w:type="dxa"/>
            <w:vMerge w:val="restart"/>
          </w:tcPr>
          <w:p w:rsidR="00356F32" w:rsidRPr="00356F32" w:rsidRDefault="00356F32" w:rsidP="00356F32">
            <w:pPr>
              <w:spacing w:line="360" w:lineRule="auto"/>
              <w:rPr>
                <w:b w:val="0"/>
                <w:sz w:val="24"/>
                <w:szCs w:val="20"/>
              </w:rPr>
            </w:pPr>
            <w:r w:rsidRPr="00356F32">
              <w:rPr>
                <w:b w:val="0"/>
                <w:sz w:val="24"/>
                <w:szCs w:val="20"/>
              </w:rPr>
              <w:t xml:space="preserve">Instituciones del sector público ofrecen la asistencia técnica necesaria.   </w:t>
            </w:r>
          </w:p>
          <w:p w:rsidR="00356F32" w:rsidRPr="00356F32" w:rsidRDefault="00356F32" w:rsidP="00356F32">
            <w:pPr>
              <w:spacing w:line="360" w:lineRule="auto"/>
              <w:rPr>
                <w:b w:val="0"/>
                <w:sz w:val="24"/>
                <w:szCs w:val="20"/>
              </w:rPr>
            </w:pPr>
          </w:p>
          <w:p w:rsidR="00356F32" w:rsidRPr="00356F32" w:rsidRDefault="00356F32" w:rsidP="00356F32">
            <w:pPr>
              <w:spacing w:line="360" w:lineRule="auto"/>
              <w:rPr>
                <w:b w:val="0"/>
                <w:sz w:val="24"/>
                <w:szCs w:val="20"/>
              </w:rPr>
            </w:pPr>
            <w:r w:rsidRPr="00356F32">
              <w:rPr>
                <w:b w:val="0"/>
                <w:sz w:val="24"/>
                <w:szCs w:val="20"/>
              </w:rPr>
              <w:t>Se mantiene el clima social y político en el país.</w:t>
            </w:r>
          </w:p>
          <w:p w:rsidR="00356F32" w:rsidRPr="00356F32" w:rsidRDefault="00356F32" w:rsidP="00356F32">
            <w:pPr>
              <w:spacing w:line="360" w:lineRule="auto"/>
              <w:rPr>
                <w:b w:val="0"/>
                <w:sz w:val="24"/>
                <w:szCs w:val="20"/>
              </w:rPr>
            </w:pPr>
          </w:p>
          <w:p w:rsidR="00356F32" w:rsidRPr="00356F32" w:rsidRDefault="00356F32" w:rsidP="00356F32">
            <w:pPr>
              <w:spacing w:line="360" w:lineRule="auto"/>
              <w:rPr>
                <w:b w:val="0"/>
                <w:sz w:val="24"/>
                <w:szCs w:val="20"/>
              </w:rPr>
            </w:pPr>
            <w:r w:rsidRPr="00356F32">
              <w:rPr>
                <w:b w:val="0"/>
                <w:sz w:val="24"/>
                <w:szCs w:val="20"/>
              </w:rPr>
              <w:t>Servidores públicos con voluntad de capacitarse.</w:t>
            </w:r>
          </w:p>
          <w:p w:rsidR="00356F32" w:rsidRPr="00356F32" w:rsidRDefault="00356F32" w:rsidP="00356F32">
            <w:pPr>
              <w:spacing w:line="360" w:lineRule="auto"/>
              <w:rPr>
                <w:b w:val="0"/>
                <w:sz w:val="24"/>
                <w:szCs w:val="20"/>
              </w:rPr>
            </w:pPr>
          </w:p>
          <w:p w:rsidR="00356F32" w:rsidRPr="00356F32" w:rsidRDefault="00356F32" w:rsidP="00356F32">
            <w:pPr>
              <w:spacing w:line="360" w:lineRule="auto"/>
              <w:rPr>
                <w:b w:val="0"/>
                <w:sz w:val="24"/>
                <w:szCs w:val="20"/>
              </w:rPr>
            </w:pPr>
            <w:r w:rsidRPr="00356F32">
              <w:rPr>
                <w:b w:val="0"/>
                <w:sz w:val="24"/>
                <w:szCs w:val="20"/>
              </w:rPr>
              <w:t>Nivel de rotación del personal se mantiene en niveles aceptables, debido al cumplimiento del Código.</w:t>
            </w:r>
          </w:p>
          <w:p w:rsidR="00356F32" w:rsidRPr="00356F32" w:rsidRDefault="00356F32" w:rsidP="00356F32">
            <w:pPr>
              <w:spacing w:line="360" w:lineRule="auto"/>
              <w:rPr>
                <w:b w:val="0"/>
                <w:sz w:val="24"/>
                <w:szCs w:val="20"/>
              </w:rPr>
            </w:pPr>
          </w:p>
          <w:p w:rsidR="00356F32" w:rsidRPr="00356F32" w:rsidRDefault="00356F32" w:rsidP="00356F32">
            <w:pPr>
              <w:spacing w:line="360" w:lineRule="auto"/>
              <w:rPr>
                <w:b w:val="0"/>
                <w:sz w:val="24"/>
                <w:szCs w:val="20"/>
              </w:rPr>
            </w:pPr>
            <w:r w:rsidRPr="00356F32">
              <w:rPr>
                <w:b w:val="0"/>
                <w:sz w:val="24"/>
                <w:szCs w:val="20"/>
              </w:rPr>
              <w:t>DIGEIG y OGTIG ofrecen asistencia técnica oportunamente.</w:t>
            </w:r>
          </w:p>
          <w:p w:rsidR="00356F32" w:rsidRPr="00356F32" w:rsidRDefault="00356F32" w:rsidP="00356F32">
            <w:pPr>
              <w:spacing w:line="360" w:lineRule="auto"/>
              <w:rPr>
                <w:b w:val="0"/>
                <w:sz w:val="24"/>
                <w:szCs w:val="20"/>
              </w:rPr>
            </w:pPr>
          </w:p>
          <w:p w:rsidR="00356F32" w:rsidRPr="00356F32" w:rsidRDefault="00356F32" w:rsidP="00356F32">
            <w:pPr>
              <w:spacing w:line="360" w:lineRule="auto"/>
              <w:rPr>
                <w:b w:val="0"/>
                <w:sz w:val="24"/>
                <w:szCs w:val="20"/>
              </w:rPr>
            </w:pPr>
            <w:r w:rsidRPr="00356F32">
              <w:rPr>
                <w:b w:val="0"/>
                <w:sz w:val="24"/>
                <w:szCs w:val="20"/>
              </w:rPr>
              <w:t>Aumenta la asignación presupuestaria al INAZUCAR.</w:t>
            </w:r>
          </w:p>
        </w:tc>
      </w:tr>
      <w:tr w:rsidR="00356F32" w:rsidRPr="00356F32" w:rsidTr="00E62D6D">
        <w:tblPrEx>
          <w:tblLook w:val="04A0"/>
        </w:tblPrEx>
        <w:tc>
          <w:tcPr>
            <w:tcW w:w="2122" w:type="dxa"/>
            <w:vMerge/>
            <w:tcBorders>
              <w:top w:val="single" w:sz="4" w:space="0" w:color="auto"/>
            </w:tcBorders>
          </w:tcPr>
          <w:p w:rsidR="00356F32" w:rsidRPr="00356F32" w:rsidRDefault="00356F32" w:rsidP="00356F32">
            <w:pPr>
              <w:spacing w:line="360" w:lineRule="auto"/>
              <w:rPr>
                <w:bCs/>
                <w:sz w:val="24"/>
                <w:szCs w:val="20"/>
              </w:rPr>
            </w:pPr>
          </w:p>
        </w:tc>
        <w:tc>
          <w:tcPr>
            <w:tcW w:w="2126" w:type="dxa"/>
            <w:vMerge/>
          </w:tcPr>
          <w:p w:rsidR="00356F32" w:rsidRPr="00356F32" w:rsidRDefault="00356F32" w:rsidP="00356F32">
            <w:pPr>
              <w:spacing w:line="360" w:lineRule="auto"/>
              <w:rPr>
                <w:bCs/>
                <w:sz w:val="24"/>
                <w:szCs w:val="20"/>
              </w:rPr>
            </w:pPr>
          </w:p>
        </w:tc>
        <w:tc>
          <w:tcPr>
            <w:tcW w:w="2835" w:type="dxa"/>
          </w:tcPr>
          <w:p w:rsidR="00356F32" w:rsidRPr="00356F32" w:rsidRDefault="00356F32" w:rsidP="00356F32">
            <w:pPr>
              <w:spacing w:line="360" w:lineRule="auto"/>
              <w:rPr>
                <w:b w:val="0"/>
                <w:sz w:val="24"/>
                <w:szCs w:val="20"/>
              </w:rPr>
            </w:pPr>
            <w:r w:rsidRPr="00356F32">
              <w:rPr>
                <w:b w:val="0"/>
                <w:sz w:val="24"/>
                <w:szCs w:val="20"/>
              </w:rPr>
              <w:t>Producto 2.2: Servidores públicos del INAZUCAR capacitados en relación con sus funciones.</w:t>
            </w:r>
          </w:p>
        </w:tc>
        <w:tc>
          <w:tcPr>
            <w:tcW w:w="3580" w:type="dxa"/>
          </w:tcPr>
          <w:p w:rsidR="00356F32" w:rsidRPr="00356F32" w:rsidRDefault="00356F32" w:rsidP="00356F32">
            <w:pPr>
              <w:spacing w:line="360" w:lineRule="auto"/>
              <w:rPr>
                <w:b w:val="0"/>
                <w:sz w:val="24"/>
                <w:szCs w:val="20"/>
              </w:rPr>
            </w:pPr>
            <w:r w:rsidRPr="00356F32">
              <w:rPr>
                <w:b w:val="0"/>
                <w:sz w:val="24"/>
                <w:szCs w:val="20"/>
              </w:rPr>
              <w:t>AE2.2.1. Capacitación del talento humano, acorde con las aspiraciones estratégicas, el marco legal institucional y las funciones de cada cargo.</w:t>
            </w:r>
          </w:p>
        </w:tc>
        <w:tc>
          <w:tcPr>
            <w:tcW w:w="2287" w:type="dxa"/>
            <w:vMerge/>
          </w:tcPr>
          <w:p w:rsidR="00356F32" w:rsidRPr="00356F32" w:rsidRDefault="00356F32" w:rsidP="00356F32">
            <w:pPr>
              <w:spacing w:line="360" w:lineRule="auto"/>
              <w:rPr>
                <w:bCs/>
                <w:sz w:val="24"/>
                <w:szCs w:val="20"/>
              </w:rPr>
            </w:pPr>
          </w:p>
        </w:tc>
      </w:tr>
      <w:tr w:rsidR="00356F32" w:rsidRPr="00356F32" w:rsidTr="00E62D6D">
        <w:tblPrEx>
          <w:tblLook w:val="04A0"/>
        </w:tblPrEx>
        <w:tc>
          <w:tcPr>
            <w:tcW w:w="2122" w:type="dxa"/>
            <w:vMerge w:val="restart"/>
            <w:tcBorders>
              <w:top w:val="nil"/>
            </w:tcBorders>
          </w:tcPr>
          <w:p w:rsidR="00356F32" w:rsidRPr="00356F32" w:rsidRDefault="00356F32" w:rsidP="00356F32">
            <w:pPr>
              <w:spacing w:line="360" w:lineRule="auto"/>
              <w:rPr>
                <w:bCs/>
                <w:sz w:val="24"/>
                <w:szCs w:val="20"/>
              </w:rPr>
            </w:pPr>
          </w:p>
        </w:tc>
        <w:tc>
          <w:tcPr>
            <w:tcW w:w="2126" w:type="dxa"/>
            <w:vMerge w:val="restart"/>
            <w:tcBorders>
              <w:top w:val="nil"/>
            </w:tcBorders>
          </w:tcPr>
          <w:p w:rsidR="00356F32" w:rsidRPr="00356F32" w:rsidRDefault="00356F32" w:rsidP="00356F32">
            <w:pPr>
              <w:spacing w:line="360" w:lineRule="auto"/>
              <w:rPr>
                <w:bCs/>
                <w:sz w:val="24"/>
                <w:szCs w:val="20"/>
              </w:rPr>
            </w:pPr>
          </w:p>
        </w:tc>
        <w:tc>
          <w:tcPr>
            <w:tcW w:w="2835" w:type="dxa"/>
          </w:tcPr>
          <w:p w:rsidR="00356F32" w:rsidRPr="00356F32" w:rsidRDefault="00356F32" w:rsidP="00356F32">
            <w:pPr>
              <w:spacing w:line="360" w:lineRule="auto"/>
              <w:rPr>
                <w:b w:val="0"/>
                <w:sz w:val="24"/>
                <w:szCs w:val="20"/>
              </w:rPr>
            </w:pPr>
            <w:r w:rsidRPr="00356F32">
              <w:rPr>
                <w:b w:val="0"/>
                <w:sz w:val="24"/>
                <w:szCs w:val="20"/>
              </w:rPr>
              <w:t>Producto 2.3: Portal de transparencia del INAZUCAR disponible al público y actualizado conforme a la normativa de la DIFEIG y la OGTIC.</w:t>
            </w:r>
          </w:p>
        </w:tc>
        <w:tc>
          <w:tcPr>
            <w:tcW w:w="3580" w:type="dxa"/>
          </w:tcPr>
          <w:p w:rsidR="00356F32" w:rsidRPr="00356F32" w:rsidRDefault="00356F32" w:rsidP="00356F32">
            <w:pPr>
              <w:spacing w:line="360" w:lineRule="auto"/>
              <w:rPr>
                <w:b w:val="0"/>
                <w:sz w:val="24"/>
                <w:szCs w:val="20"/>
              </w:rPr>
            </w:pPr>
            <w:r w:rsidRPr="00356F32">
              <w:rPr>
                <w:b w:val="0"/>
                <w:sz w:val="24"/>
                <w:szCs w:val="20"/>
              </w:rPr>
              <w:t>AE2.3.1. Mejora de los procesos de transparencia, acorde con la normativa aplicable (Aplica para el producto 2.5).</w:t>
            </w:r>
          </w:p>
        </w:tc>
        <w:tc>
          <w:tcPr>
            <w:tcW w:w="2287" w:type="dxa"/>
            <w:vMerge/>
          </w:tcPr>
          <w:p w:rsidR="00356F32" w:rsidRPr="00356F32" w:rsidRDefault="00356F32" w:rsidP="00356F32">
            <w:pPr>
              <w:spacing w:line="360" w:lineRule="auto"/>
              <w:rPr>
                <w:bCs/>
                <w:sz w:val="24"/>
                <w:szCs w:val="20"/>
              </w:rPr>
            </w:pPr>
          </w:p>
        </w:tc>
      </w:tr>
      <w:tr w:rsidR="00356F32" w:rsidRPr="00356F32" w:rsidTr="00E62D6D">
        <w:tblPrEx>
          <w:tblLook w:val="04A0"/>
        </w:tblPrEx>
        <w:tc>
          <w:tcPr>
            <w:tcW w:w="2122" w:type="dxa"/>
            <w:vMerge/>
            <w:tcBorders>
              <w:top w:val="nil"/>
            </w:tcBorders>
          </w:tcPr>
          <w:p w:rsidR="00356F32" w:rsidRPr="00356F32" w:rsidRDefault="00356F32" w:rsidP="00356F32">
            <w:pPr>
              <w:spacing w:line="360" w:lineRule="auto"/>
              <w:rPr>
                <w:bCs/>
                <w:sz w:val="24"/>
                <w:szCs w:val="20"/>
              </w:rPr>
            </w:pPr>
          </w:p>
        </w:tc>
        <w:tc>
          <w:tcPr>
            <w:tcW w:w="2126" w:type="dxa"/>
            <w:vMerge/>
            <w:tcBorders>
              <w:top w:val="nil"/>
            </w:tcBorders>
          </w:tcPr>
          <w:p w:rsidR="00356F32" w:rsidRPr="00356F32" w:rsidRDefault="00356F32" w:rsidP="00356F32">
            <w:pPr>
              <w:spacing w:line="360" w:lineRule="auto"/>
              <w:rPr>
                <w:bCs/>
                <w:sz w:val="24"/>
                <w:szCs w:val="20"/>
              </w:rPr>
            </w:pPr>
          </w:p>
        </w:tc>
        <w:tc>
          <w:tcPr>
            <w:tcW w:w="2835" w:type="dxa"/>
          </w:tcPr>
          <w:p w:rsidR="00356F32" w:rsidRPr="00356F32" w:rsidRDefault="00356F32" w:rsidP="00356F32">
            <w:pPr>
              <w:spacing w:line="360" w:lineRule="auto"/>
              <w:rPr>
                <w:b w:val="0"/>
                <w:sz w:val="24"/>
                <w:szCs w:val="20"/>
              </w:rPr>
            </w:pPr>
            <w:r w:rsidRPr="00356F32">
              <w:rPr>
                <w:b w:val="0"/>
                <w:sz w:val="24"/>
                <w:szCs w:val="20"/>
              </w:rPr>
              <w:t>Producto 2.4: Código de Ética y de Conducta del Servidor Público del INAZUCAR implementado.</w:t>
            </w:r>
          </w:p>
        </w:tc>
        <w:tc>
          <w:tcPr>
            <w:tcW w:w="3580" w:type="dxa"/>
          </w:tcPr>
          <w:p w:rsidR="00356F32" w:rsidRPr="00356F32" w:rsidRDefault="00356F32" w:rsidP="00356F32">
            <w:pPr>
              <w:spacing w:line="360" w:lineRule="auto"/>
              <w:rPr>
                <w:b w:val="0"/>
                <w:sz w:val="24"/>
                <w:szCs w:val="20"/>
              </w:rPr>
            </w:pPr>
            <w:r w:rsidRPr="00356F32">
              <w:rPr>
                <w:b w:val="0"/>
                <w:sz w:val="24"/>
                <w:szCs w:val="20"/>
              </w:rPr>
              <w:t>AE2.4.1. Desarrollar acciones de fortalecimiento de la ética y la conducta de los servidores públicos del INAZUCAR.</w:t>
            </w:r>
          </w:p>
        </w:tc>
        <w:tc>
          <w:tcPr>
            <w:tcW w:w="2287" w:type="dxa"/>
            <w:vMerge/>
          </w:tcPr>
          <w:p w:rsidR="00356F32" w:rsidRPr="00356F32" w:rsidRDefault="00356F32" w:rsidP="00356F32">
            <w:pPr>
              <w:spacing w:line="360" w:lineRule="auto"/>
              <w:rPr>
                <w:bCs/>
                <w:sz w:val="24"/>
                <w:szCs w:val="20"/>
              </w:rPr>
            </w:pPr>
          </w:p>
        </w:tc>
      </w:tr>
      <w:tr w:rsidR="00356F32" w:rsidRPr="00356F32" w:rsidTr="00E62D6D">
        <w:tblPrEx>
          <w:tblLook w:val="04A0"/>
        </w:tblPrEx>
        <w:tc>
          <w:tcPr>
            <w:tcW w:w="2122" w:type="dxa"/>
            <w:vMerge/>
            <w:tcBorders>
              <w:top w:val="nil"/>
            </w:tcBorders>
          </w:tcPr>
          <w:p w:rsidR="00356F32" w:rsidRPr="00356F32" w:rsidRDefault="00356F32" w:rsidP="00356F32">
            <w:pPr>
              <w:spacing w:line="360" w:lineRule="auto"/>
              <w:rPr>
                <w:bCs/>
                <w:sz w:val="24"/>
                <w:szCs w:val="20"/>
              </w:rPr>
            </w:pPr>
          </w:p>
        </w:tc>
        <w:tc>
          <w:tcPr>
            <w:tcW w:w="2126" w:type="dxa"/>
            <w:vMerge/>
            <w:tcBorders>
              <w:top w:val="nil"/>
            </w:tcBorders>
          </w:tcPr>
          <w:p w:rsidR="00356F32" w:rsidRPr="00356F32" w:rsidRDefault="00356F32" w:rsidP="00356F32">
            <w:pPr>
              <w:spacing w:line="360" w:lineRule="auto"/>
              <w:rPr>
                <w:bCs/>
                <w:sz w:val="24"/>
                <w:szCs w:val="20"/>
              </w:rPr>
            </w:pPr>
          </w:p>
        </w:tc>
        <w:tc>
          <w:tcPr>
            <w:tcW w:w="2835" w:type="dxa"/>
          </w:tcPr>
          <w:p w:rsidR="00356F32" w:rsidRPr="00356F32" w:rsidRDefault="00356F32" w:rsidP="00356F32">
            <w:pPr>
              <w:spacing w:line="360" w:lineRule="auto"/>
              <w:rPr>
                <w:b w:val="0"/>
                <w:sz w:val="24"/>
                <w:szCs w:val="20"/>
              </w:rPr>
            </w:pPr>
            <w:r w:rsidRPr="00356F32">
              <w:rPr>
                <w:b w:val="0"/>
                <w:sz w:val="24"/>
                <w:szCs w:val="20"/>
              </w:rPr>
              <w:t>Producto 2.5: Solicitudes de información pública respondidas oportunamente.</w:t>
            </w:r>
          </w:p>
        </w:tc>
        <w:tc>
          <w:tcPr>
            <w:tcW w:w="3580" w:type="dxa"/>
          </w:tcPr>
          <w:p w:rsidR="00356F32" w:rsidRPr="00356F32" w:rsidRDefault="00356F32" w:rsidP="00356F32">
            <w:pPr>
              <w:spacing w:line="360" w:lineRule="auto"/>
              <w:rPr>
                <w:b w:val="0"/>
                <w:sz w:val="24"/>
                <w:szCs w:val="20"/>
              </w:rPr>
            </w:pPr>
            <w:r w:rsidRPr="00356F32">
              <w:rPr>
                <w:b w:val="0"/>
                <w:sz w:val="24"/>
                <w:szCs w:val="20"/>
              </w:rPr>
              <w:t>AE2.3.1. Mejora de los procesos de transparencia, acorde con la normativa aplicable.</w:t>
            </w:r>
          </w:p>
        </w:tc>
        <w:tc>
          <w:tcPr>
            <w:tcW w:w="2287" w:type="dxa"/>
            <w:vMerge/>
          </w:tcPr>
          <w:p w:rsidR="00356F32" w:rsidRPr="00356F32" w:rsidRDefault="00356F32" w:rsidP="00356F32">
            <w:pPr>
              <w:spacing w:line="360" w:lineRule="auto"/>
              <w:rPr>
                <w:bCs/>
                <w:sz w:val="24"/>
                <w:szCs w:val="20"/>
              </w:rPr>
            </w:pPr>
          </w:p>
        </w:tc>
      </w:tr>
      <w:tr w:rsidR="00356F32" w:rsidRPr="00356F32" w:rsidTr="00E62D6D">
        <w:tblPrEx>
          <w:tblLook w:val="04A0"/>
        </w:tblPrEx>
        <w:tc>
          <w:tcPr>
            <w:tcW w:w="2122" w:type="dxa"/>
            <w:vMerge/>
            <w:tcBorders>
              <w:top w:val="nil"/>
            </w:tcBorders>
          </w:tcPr>
          <w:p w:rsidR="00356F32" w:rsidRPr="00356F32" w:rsidRDefault="00356F32" w:rsidP="00356F32">
            <w:pPr>
              <w:spacing w:line="360" w:lineRule="auto"/>
              <w:rPr>
                <w:bCs/>
                <w:sz w:val="24"/>
                <w:szCs w:val="20"/>
              </w:rPr>
            </w:pPr>
          </w:p>
        </w:tc>
        <w:tc>
          <w:tcPr>
            <w:tcW w:w="2126" w:type="dxa"/>
            <w:vMerge/>
            <w:tcBorders>
              <w:top w:val="nil"/>
            </w:tcBorders>
          </w:tcPr>
          <w:p w:rsidR="00356F32" w:rsidRPr="00356F32" w:rsidRDefault="00356F32" w:rsidP="00356F32">
            <w:pPr>
              <w:spacing w:line="360" w:lineRule="auto"/>
              <w:rPr>
                <w:bCs/>
                <w:sz w:val="24"/>
                <w:szCs w:val="20"/>
              </w:rPr>
            </w:pPr>
          </w:p>
        </w:tc>
        <w:tc>
          <w:tcPr>
            <w:tcW w:w="2835" w:type="dxa"/>
          </w:tcPr>
          <w:p w:rsidR="00356F32" w:rsidRPr="00356F32" w:rsidRDefault="00356F32" w:rsidP="00356F32">
            <w:pPr>
              <w:spacing w:line="360" w:lineRule="auto"/>
              <w:rPr>
                <w:b w:val="0"/>
                <w:sz w:val="24"/>
                <w:szCs w:val="20"/>
              </w:rPr>
            </w:pPr>
            <w:r w:rsidRPr="00356F32">
              <w:rPr>
                <w:b w:val="0"/>
                <w:sz w:val="24"/>
                <w:szCs w:val="20"/>
              </w:rPr>
              <w:t>Producto 2.6: Instalaciones del INAZUCAR equipadas para el cumplimiento de su misión.</w:t>
            </w:r>
          </w:p>
        </w:tc>
        <w:tc>
          <w:tcPr>
            <w:tcW w:w="3580" w:type="dxa"/>
          </w:tcPr>
          <w:p w:rsidR="00356F32" w:rsidRPr="00356F32" w:rsidRDefault="00356F32" w:rsidP="00356F32">
            <w:pPr>
              <w:spacing w:line="360" w:lineRule="auto"/>
              <w:rPr>
                <w:b w:val="0"/>
                <w:sz w:val="24"/>
                <w:szCs w:val="20"/>
              </w:rPr>
            </w:pPr>
            <w:r w:rsidRPr="00356F32">
              <w:rPr>
                <w:b w:val="0"/>
                <w:sz w:val="24"/>
                <w:szCs w:val="20"/>
              </w:rPr>
              <w:t>2.6.1. Adecuación de la Infraestructura física, tecnológica y logística.</w:t>
            </w:r>
          </w:p>
        </w:tc>
        <w:tc>
          <w:tcPr>
            <w:tcW w:w="2287" w:type="dxa"/>
            <w:vMerge/>
          </w:tcPr>
          <w:p w:rsidR="00356F32" w:rsidRPr="00356F32" w:rsidRDefault="00356F32" w:rsidP="00356F32">
            <w:pPr>
              <w:spacing w:line="360" w:lineRule="auto"/>
              <w:rPr>
                <w:bCs/>
                <w:sz w:val="24"/>
                <w:szCs w:val="20"/>
              </w:rPr>
            </w:pPr>
          </w:p>
        </w:tc>
      </w:tr>
    </w:tbl>
    <w:p w:rsidR="00356F32" w:rsidRDefault="00356F32" w:rsidP="007E79BF">
      <w:pPr>
        <w:spacing w:after="0" w:line="360" w:lineRule="auto"/>
        <w:rPr>
          <w:b w:val="0"/>
          <w:bCs/>
          <w:sz w:val="24"/>
          <w:szCs w:val="20"/>
        </w:rPr>
        <w:sectPr w:rsidR="00356F32" w:rsidSect="007E79BF">
          <w:pgSz w:w="15840" w:h="12240" w:orient="landscape"/>
          <w:pgMar w:top="1440" w:right="1440" w:bottom="1440" w:left="1440" w:header="709" w:footer="709" w:gutter="0"/>
          <w:cols w:space="708"/>
          <w:docGrid w:linePitch="360"/>
        </w:sectPr>
      </w:pPr>
    </w:p>
    <w:p w:rsidR="009D1A8A" w:rsidRDefault="009D1A8A" w:rsidP="00E47275">
      <w:pPr>
        <w:pStyle w:val="Ttulo1"/>
      </w:pPr>
      <w:bookmarkStart w:id="59" w:name="_Toc80090963"/>
      <w:bookmarkStart w:id="60" w:name="_Toc80177708"/>
      <w:r>
        <w:lastRenderedPageBreak/>
        <w:t>MONITOREO Y CONTROL</w:t>
      </w:r>
      <w:bookmarkEnd w:id="59"/>
      <w:bookmarkEnd w:id="60"/>
    </w:p>
    <w:p w:rsidR="00E62D6D" w:rsidRDefault="00E62D6D" w:rsidP="004835CC">
      <w:pPr>
        <w:spacing w:after="0" w:line="360" w:lineRule="auto"/>
        <w:rPr>
          <w:b w:val="0"/>
          <w:bCs/>
          <w:sz w:val="24"/>
          <w:szCs w:val="20"/>
        </w:rPr>
      </w:pPr>
    </w:p>
    <w:p w:rsidR="00E62D6D" w:rsidRDefault="00E62D6D" w:rsidP="004835CC">
      <w:pPr>
        <w:spacing w:after="0" w:line="360" w:lineRule="auto"/>
        <w:rPr>
          <w:b w:val="0"/>
          <w:bCs/>
          <w:sz w:val="24"/>
          <w:szCs w:val="20"/>
        </w:rPr>
      </w:pPr>
      <w:r>
        <w:rPr>
          <w:b w:val="0"/>
          <w:bCs/>
          <w:sz w:val="24"/>
          <w:szCs w:val="20"/>
        </w:rPr>
        <w:t>Para el monitoreo y control del PEI 2024</w:t>
      </w:r>
      <w:r w:rsidR="00F2450A">
        <w:rPr>
          <w:b w:val="0"/>
          <w:bCs/>
          <w:sz w:val="24"/>
          <w:szCs w:val="20"/>
        </w:rPr>
        <w:t xml:space="preserve">, </w:t>
      </w:r>
      <w:r>
        <w:rPr>
          <w:b w:val="0"/>
          <w:bCs/>
          <w:sz w:val="24"/>
          <w:szCs w:val="20"/>
        </w:rPr>
        <w:t xml:space="preserve"> se ha definido una batería de indicadores que permitirán medir </w:t>
      </w:r>
      <w:r w:rsidR="004835CC">
        <w:rPr>
          <w:b w:val="0"/>
          <w:bCs/>
          <w:sz w:val="24"/>
          <w:szCs w:val="20"/>
        </w:rPr>
        <w:t>el avance en la obtención de los productos, el logro de los resultados, la consecución de los objetivos y, consecuentemente, la materialización de la Visión 2024 y la contribución del presente Plan al cumplimiento de la Misión institucional.</w:t>
      </w:r>
    </w:p>
    <w:p w:rsidR="004835CC" w:rsidRDefault="004835CC" w:rsidP="004835CC">
      <w:pPr>
        <w:spacing w:after="0" w:line="360" w:lineRule="auto"/>
        <w:rPr>
          <w:b w:val="0"/>
          <w:bCs/>
          <w:sz w:val="24"/>
          <w:szCs w:val="20"/>
        </w:rPr>
      </w:pPr>
    </w:p>
    <w:p w:rsidR="004835CC" w:rsidRDefault="004835CC" w:rsidP="004835CC">
      <w:pPr>
        <w:spacing w:after="0" w:line="360" w:lineRule="auto"/>
        <w:rPr>
          <w:b w:val="0"/>
          <w:bCs/>
          <w:sz w:val="24"/>
          <w:szCs w:val="20"/>
        </w:rPr>
      </w:pPr>
      <w:r>
        <w:rPr>
          <w:b w:val="0"/>
          <w:bCs/>
          <w:sz w:val="24"/>
          <w:szCs w:val="20"/>
        </w:rPr>
        <w:t>Cada indicador cuenta con una ficha técnica que facilita su mejor compresión, desagregando cada uno de sus componentes, de forma tal que se pueda contar con una medición eficaz, objetiva y consistente.</w:t>
      </w:r>
    </w:p>
    <w:p w:rsidR="004835CC" w:rsidRDefault="004835CC" w:rsidP="004835CC">
      <w:pPr>
        <w:spacing w:after="0" w:line="360" w:lineRule="auto"/>
        <w:rPr>
          <w:b w:val="0"/>
          <w:bCs/>
          <w:sz w:val="24"/>
          <w:szCs w:val="20"/>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1"/>
        <w:gridCol w:w="4394"/>
      </w:tblGrid>
      <w:tr w:rsidR="00E62D6D" w:rsidRPr="00E62D6D" w:rsidTr="004835CC">
        <w:trPr>
          <w:trHeight w:val="405"/>
          <w:jc w:val="center"/>
        </w:trPr>
        <w:tc>
          <w:tcPr>
            <w:tcW w:w="9355" w:type="dxa"/>
            <w:gridSpan w:val="2"/>
          </w:tcPr>
          <w:p w:rsidR="00E62D6D" w:rsidRPr="00E62D6D" w:rsidRDefault="00E62D6D" w:rsidP="00E62D6D">
            <w:pPr>
              <w:spacing w:after="0" w:line="360" w:lineRule="auto"/>
              <w:jc w:val="center"/>
              <w:rPr>
                <w:rFonts w:eastAsia="Times New Roman" w:cs="Calibri"/>
                <w:bCs/>
                <w:color w:val="000000"/>
                <w:sz w:val="24"/>
                <w:szCs w:val="24"/>
              </w:rPr>
            </w:pPr>
            <w:r w:rsidRPr="00E62D6D">
              <w:rPr>
                <w:rFonts w:eastAsia="Times New Roman" w:cs="Calibri"/>
                <w:bCs/>
                <w:color w:val="000000"/>
                <w:sz w:val="24"/>
                <w:szCs w:val="24"/>
              </w:rPr>
              <w:t>Tabla No. V: Ficha de Indicador 1.1. Procesos Regulados</w:t>
            </w:r>
          </w:p>
        </w:tc>
      </w:tr>
      <w:tr w:rsidR="00E62D6D" w:rsidRPr="00E62D6D" w:rsidTr="000C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3"/>
          <w:jc w:val="center"/>
        </w:trPr>
        <w:tc>
          <w:tcPr>
            <w:tcW w:w="935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E62D6D" w:rsidRPr="00E62D6D" w:rsidRDefault="00E62D6D" w:rsidP="00E62D6D">
            <w:pPr>
              <w:spacing w:after="0" w:line="360" w:lineRule="auto"/>
              <w:jc w:val="center"/>
              <w:rPr>
                <w:rFonts w:eastAsia="Times New Roman" w:cs="Calibri"/>
                <w:bCs/>
                <w:color w:val="000000"/>
                <w:sz w:val="24"/>
                <w:szCs w:val="24"/>
              </w:rPr>
            </w:pPr>
            <w:r w:rsidRPr="00E62D6D">
              <w:rPr>
                <w:rFonts w:eastAsia="Times New Roman" w:cs="Calibri"/>
                <w:bCs/>
                <w:color w:val="000000"/>
                <w:sz w:val="24"/>
                <w:szCs w:val="24"/>
              </w:rPr>
              <w:t>Información General del Indicador:</w:t>
            </w:r>
          </w:p>
        </w:tc>
      </w:tr>
      <w:tr w:rsidR="00E62D6D" w:rsidRPr="00E62D6D" w:rsidTr="004835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jc w:val="center"/>
        </w:trPr>
        <w:tc>
          <w:tcPr>
            <w:tcW w:w="4961" w:type="dxa"/>
            <w:vMerge w:val="restart"/>
            <w:tcBorders>
              <w:top w:val="nil"/>
              <w:left w:val="single" w:sz="8" w:space="0" w:color="auto"/>
              <w:bottom w:val="single" w:sz="8" w:space="0" w:color="000000"/>
              <w:right w:val="single" w:sz="8" w:space="0" w:color="auto"/>
            </w:tcBorders>
            <w:shd w:val="clear" w:color="auto" w:fill="auto"/>
            <w:vAlign w:val="center"/>
            <w:hideMark/>
          </w:tcPr>
          <w:p w:rsidR="00E62D6D" w:rsidRPr="00E62D6D" w:rsidRDefault="00E62D6D" w:rsidP="00E62D6D">
            <w:pPr>
              <w:spacing w:after="0" w:line="360" w:lineRule="auto"/>
              <w:rPr>
                <w:rFonts w:eastAsia="Times New Roman" w:cs="Calibri"/>
                <w:b w:val="0"/>
                <w:color w:val="000000"/>
                <w:sz w:val="24"/>
                <w:szCs w:val="24"/>
              </w:rPr>
            </w:pPr>
            <w:r w:rsidRPr="00E62D6D">
              <w:rPr>
                <w:rFonts w:eastAsia="Times New Roman" w:cs="Calibri"/>
                <w:bCs/>
                <w:color w:val="000000"/>
                <w:sz w:val="24"/>
                <w:szCs w:val="24"/>
              </w:rPr>
              <w:t>Nombre del indicador:</w:t>
            </w:r>
            <w:r w:rsidRPr="00E62D6D">
              <w:rPr>
                <w:rFonts w:eastAsia="Times New Roman" w:cs="Calibri"/>
                <w:b w:val="0"/>
                <w:color w:val="000000"/>
                <w:sz w:val="24"/>
                <w:szCs w:val="24"/>
              </w:rPr>
              <w:t xml:space="preserve"> 1.1.  Procesos Regulados.</w:t>
            </w:r>
          </w:p>
        </w:tc>
        <w:tc>
          <w:tcPr>
            <w:tcW w:w="4394" w:type="dxa"/>
            <w:tcBorders>
              <w:top w:val="nil"/>
              <w:left w:val="nil"/>
              <w:bottom w:val="nil"/>
              <w:right w:val="single" w:sz="8" w:space="0" w:color="auto"/>
            </w:tcBorders>
            <w:shd w:val="clear" w:color="auto" w:fill="auto"/>
            <w:vAlign w:val="center"/>
            <w:hideMark/>
          </w:tcPr>
          <w:p w:rsidR="00E62D6D" w:rsidRPr="00E62D6D" w:rsidRDefault="00E62D6D" w:rsidP="00E62D6D">
            <w:pPr>
              <w:spacing w:after="0" w:line="360" w:lineRule="auto"/>
              <w:rPr>
                <w:rFonts w:eastAsia="Times New Roman" w:cs="Calibri"/>
                <w:bCs/>
                <w:color w:val="000000"/>
                <w:sz w:val="24"/>
                <w:szCs w:val="24"/>
              </w:rPr>
            </w:pPr>
            <w:r w:rsidRPr="00E62D6D">
              <w:rPr>
                <w:rFonts w:eastAsia="Times New Roman" w:cs="Calibri"/>
                <w:bCs/>
                <w:color w:val="000000"/>
                <w:sz w:val="24"/>
                <w:szCs w:val="24"/>
              </w:rPr>
              <w:t>Línea Base</w:t>
            </w:r>
          </w:p>
        </w:tc>
      </w:tr>
      <w:tr w:rsidR="00E62D6D" w:rsidRPr="00E62D6D" w:rsidTr="004835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jc w:val="center"/>
        </w:trPr>
        <w:tc>
          <w:tcPr>
            <w:tcW w:w="4961" w:type="dxa"/>
            <w:vMerge/>
            <w:tcBorders>
              <w:top w:val="nil"/>
              <w:left w:val="single" w:sz="8" w:space="0" w:color="auto"/>
              <w:bottom w:val="single" w:sz="8" w:space="0" w:color="000000"/>
              <w:right w:val="single" w:sz="8" w:space="0" w:color="auto"/>
            </w:tcBorders>
            <w:vAlign w:val="center"/>
            <w:hideMark/>
          </w:tcPr>
          <w:p w:rsidR="00E62D6D" w:rsidRPr="00E62D6D" w:rsidRDefault="00E62D6D" w:rsidP="00E62D6D">
            <w:pPr>
              <w:spacing w:after="0" w:line="360" w:lineRule="auto"/>
              <w:jc w:val="left"/>
              <w:rPr>
                <w:rFonts w:eastAsia="Times New Roman" w:cs="Calibri"/>
                <w:b w:val="0"/>
                <w:color w:val="000000"/>
                <w:sz w:val="24"/>
                <w:szCs w:val="24"/>
              </w:rPr>
            </w:pPr>
          </w:p>
        </w:tc>
        <w:tc>
          <w:tcPr>
            <w:tcW w:w="4394" w:type="dxa"/>
            <w:tcBorders>
              <w:top w:val="nil"/>
              <w:left w:val="nil"/>
              <w:bottom w:val="nil"/>
              <w:right w:val="single" w:sz="8" w:space="0" w:color="auto"/>
            </w:tcBorders>
            <w:shd w:val="clear" w:color="auto" w:fill="auto"/>
            <w:vAlign w:val="center"/>
            <w:hideMark/>
          </w:tcPr>
          <w:p w:rsidR="00E62D6D" w:rsidRPr="00E62D6D" w:rsidRDefault="00E62D6D" w:rsidP="00E62D6D">
            <w:pPr>
              <w:spacing w:after="0" w:line="360" w:lineRule="auto"/>
              <w:rPr>
                <w:rFonts w:eastAsia="Times New Roman" w:cs="Calibri"/>
                <w:b w:val="0"/>
                <w:color w:val="000000"/>
                <w:sz w:val="24"/>
                <w:szCs w:val="24"/>
              </w:rPr>
            </w:pPr>
            <w:r w:rsidRPr="00E62D6D">
              <w:rPr>
                <w:rFonts w:eastAsia="Times New Roman" w:cs="Calibri"/>
                <w:bCs/>
                <w:color w:val="000000"/>
                <w:sz w:val="24"/>
                <w:szCs w:val="24"/>
              </w:rPr>
              <w:t>Año:</w:t>
            </w:r>
            <w:r w:rsidRPr="00E62D6D">
              <w:rPr>
                <w:rFonts w:eastAsia="Times New Roman" w:cs="Calibri"/>
                <w:b w:val="0"/>
                <w:color w:val="000000"/>
                <w:sz w:val="24"/>
                <w:szCs w:val="24"/>
              </w:rPr>
              <w:t xml:space="preserve"> 2020</w:t>
            </w:r>
          </w:p>
        </w:tc>
      </w:tr>
      <w:tr w:rsidR="00E62D6D" w:rsidRPr="00E62D6D" w:rsidTr="004835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3"/>
          <w:jc w:val="center"/>
        </w:trPr>
        <w:tc>
          <w:tcPr>
            <w:tcW w:w="4961" w:type="dxa"/>
            <w:vMerge/>
            <w:tcBorders>
              <w:top w:val="nil"/>
              <w:left w:val="single" w:sz="8" w:space="0" w:color="auto"/>
              <w:bottom w:val="single" w:sz="8" w:space="0" w:color="000000"/>
              <w:right w:val="single" w:sz="8" w:space="0" w:color="auto"/>
            </w:tcBorders>
            <w:vAlign w:val="center"/>
            <w:hideMark/>
          </w:tcPr>
          <w:p w:rsidR="00E62D6D" w:rsidRPr="00E62D6D" w:rsidRDefault="00E62D6D" w:rsidP="00E62D6D">
            <w:pPr>
              <w:spacing w:after="0" w:line="360" w:lineRule="auto"/>
              <w:jc w:val="left"/>
              <w:rPr>
                <w:rFonts w:eastAsia="Times New Roman" w:cs="Calibri"/>
                <w:b w:val="0"/>
                <w:color w:val="000000"/>
                <w:sz w:val="24"/>
                <w:szCs w:val="24"/>
              </w:rPr>
            </w:pPr>
          </w:p>
        </w:tc>
        <w:tc>
          <w:tcPr>
            <w:tcW w:w="4394" w:type="dxa"/>
            <w:tcBorders>
              <w:top w:val="nil"/>
              <w:left w:val="nil"/>
              <w:bottom w:val="single" w:sz="8" w:space="0" w:color="auto"/>
              <w:right w:val="single" w:sz="8" w:space="0" w:color="auto"/>
            </w:tcBorders>
            <w:shd w:val="clear" w:color="auto" w:fill="auto"/>
            <w:vAlign w:val="center"/>
            <w:hideMark/>
          </w:tcPr>
          <w:p w:rsidR="00E62D6D" w:rsidRPr="00E62D6D" w:rsidRDefault="00E62D6D" w:rsidP="00E62D6D">
            <w:pPr>
              <w:spacing w:after="0" w:line="360" w:lineRule="auto"/>
              <w:rPr>
                <w:rFonts w:eastAsia="Times New Roman" w:cs="Calibri"/>
                <w:b w:val="0"/>
                <w:color w:val="000000"/>
                <w:sz w:val="24"/>
                <w:szCs w:val="24"/>
              </w:rPr>
            </w:pPr>
            <w:r w:rsidRPr="00E62D6D">
              <w:rPr>
                <w:rFonts w:eastAsia="Times New Roman" w:cs="Calibri"/>
                <w:bCs/>
                <w:color w:val="000000"/>
                <w:sz w:val="24"/>
                <w:szCs w:val="24"/>
              </w:rPr>
              <w:t>Valor:</w:t>
            </w:r>
            <w:r w:rsidRPr="00E62D6D">
              <w:rPr>
                <w:rFonts w:eastAsia="Times New Roman" w:cs="Calibri"/>
                <w:b w:val="0"/>
                <w:color w:val="000000"/>
                <w:sz w:val="24"/>
                <w:szCs w:val="24"/>
              </w:rPr>
              <w:t xml:space="preserve"> 1</w:t>
            </w:r>
          </w:p>
        </w:tc>
      </w:tr>
      <w:tr w:rsidR="00E62D6D" w:rsidRPr="00E62D6D" w:rsidTr="004835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65"/>
          <w:jc w:val="center"/>
        </w:trPr>
        <w:tc>
          <w:tcPr>
            <w:tcW w:w="4961" w:type="dxa"/>
            <w:tcBorders>
              <w:top w:val="nil"/>
              <w:left w:val="single" w:sz="8" w:space="0" w:color="auto"/>
              <w:bottom w:val="nil"/>
              <w:right w:val="single" w:sz="8" w:space="0" w:color="auto"/>
            </w:tcBorders>
            <w:shd w:val="clear" w:color="auto" w:fill="auto"/>
            <w:vAlign w:val="center"/>
            <w:hideMark/>
          </w:tcPr>
          <w:p w:rsidR="00E62D6D" w:rsidRPr="00E62D6D" w:rsidRDefault="00E62D6D" w:rsidP="00E62D6D">
            <w:pPr>
              <w:spacing w:after="0" w:line="360" w:lineRule="auto"/>
              <w:rPr>
                <w:rFonts w:eastAsia="Times New Roman" w:cs="Calibri"/>
                <w:b w:val="0"/>
                <w:color w:val="000000"/>
                <w:sz w:val="24"/>
                <w:szCs w:val="24"/>
              </w:rPr>
            </w:pPr>
            <w:r w:rsidRPr="00E62D6D">
              <w:rPr>
                <w:rFonts w:eastAsia="Times New Roman" w:cs="Calibri"/>
                <w:bCs/>
                <w:color w:val="000000"/>
                <w:sz w:val="24"/>
                <w:szCs w:val="24"/>
              </w:rPr>
              <w:t>Eje Estratégico:</w:t>
            </w:r>
            <w:r w:rsidRPr="00E62D6D">
              <w:rPr>
                <w:rFonts w:eastAsia="Times New Roman" w:cs="Calibri"/>
                <w:b w:val="0"/>
                <w:color w:val="000000"/>
                <w:sz w:val="24"/>
                <w:szCs w:val="24"/>
              </w:rPr>
              <w:t xml:space="preserve"> No. 1: Políticas, Estudios y Regulación.</w:t>
            </w:r>
          </w:p>
        </w:tc>
        <w:tc>
          <w:tcPr>
            <w:tcW w:w="4394" w:type="dxa"/>
            <w:tcBorders>
              <w:top w:val="nil"/>
              <w:left w:val="nil"/>
              <w:bottom w:val="nil"/>
              <w:right w:val="single" w:sz="8" w:space="0" w:color="auto"/>
            </w:tcBorders>
            <w:shd w:val="clear" w:color="auto" w:fill="auto"/>
            <w:vAlign w:val="center"/>
            <w:hideMark/>
          </w:tcPr>
          <w:p w:rsidR="00E62D6D" w:rsidRPr="00E62D6D" w:rsidRDefault="00E62D6D" w:rsidP="00E62D6D">
            <w:pPr>
              <w:spacing w:after="0" w:line="360" w:lineRule="auto"/>
              <w:rPr>
                <w:rFonts w:eastAsia="Times New Roman" w:cs="Calibri"/>
                <w:bCs/>
                <w:color w:val="000000"/>
                <w:sz w:val="24"/>
                <w:szCs w:val="24"/>
              </w:rPr>
            </w:pPr>
            <w:r w:rsidRPr="00E62D6D">
              <w:rPr>
                <w:rFonts w:eastAsia="Times New Roman" w:cs="Calibri"/>
                <w:bCs/>
                <w:color w:val="000000"/>
                <w:sz w:val="24"/>
                <w:szCs w:val="24"/>
              </w:rPr>
              <w:t>Meta</w:t>
            </w:r>
          </w:p>
        </w:tc>
      </w:tr>
      <w:tr w:rsidR="00E62D6D" w:rsidRPr="00E62D6D" w:rsidTr="004835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jc w:val="center"/>
        </w:trPr>
        <w:tc>
          <w:tcPr>
            <w:tcW w:w="4961" w:type="dxa"/>
            <w:tcBorders>
              <w:top w:val="nil"/>
              <w:left w:val="single" w:sz="8" w:space="0" w:color="auto"/>
              <w:bottom w:val="nil"/>
              <w:right w:val="single" w:sz="8" w:space="0" w:color="auto"/>
            </w:tcBorders>
            <w:shd w:val="clear" w:color="auto" w:fill="auto"/>
            <w:vAlign w:val="center"/>
            <w:hideMark/>
          </w:tcPr>
          <w:p w:rsidR="00E62D6D" w:rsidRPr="00E62D6D" w:rsidRDefault="00E62D6D" w:rsidP="00E62D6D">
            <w:pPr>
              <w:spacing w:after="0" w:line="360" w:lineRule="auto"/>
              <w:rPr>
                <w:rFonts w:eastAsia="Times New Roman" w:cs="Calibri"/>
                <w:b w:val="0"/>
                <w:color w:val="000000"/>
                <w:sz w:val="24"/>
                <w:szCs w:val="24"/>
              </w:rPr>
            </w:pPr>
          </w:p>
        </w:tc>
        <w:tc>
          <w:tcPr>
            <w:tcW w:w="4394" w:type="dxa"/>
            <w:tcBorders>
              <w:top w:val="nil"/>
              <w:left w:val="nil"/>
              <w:bottom w:val="nil"/>
              <w:right w:val="single" w:sz="8" w:space="0" w:color="auto"/>
            </w:tcBorders>
            <w:shd w:val="clear" w:color="auto" w:fill="auto"/>
            <w:vAlign w:val="center"/>
            <w:hideMark/>
          </w:tcPr>
          <w:p w:rsidR="00E62D6D" w:rsidRPr="00E62D6D" w:rsidRDefault="00E62D6D" w:rsidP="00E62D6D">
            <w:pPr>
              <w:spacing w:after="0" w:line="360" w:lineRule="auto"/>
              <w:rPr>
                <w:rFonts w:eastAsia="Times New Roman" w:cs="Calibri"/>
                <w:b w:val="0"/>
                <w:color w:val="000000"/>
                <w:sz w:val="24"/>
                <w:szCs w:val="24"/>
              </w:rPr>
            </w:pPr>
            <w:r w:rsidRPr="00E62D6D">
              <w:rPr>
                <w:rFonts w:eastAsia="Times New Roman" w:cs="Calibri"/>
                <w:bCs/>
                <w:color w:val="000000"/>
                <w:sz w:val="24"/>
                <w:szCs w:val="24"/>
              </w:rPr>
              <w:t>Año:</w:t>
            </w:r>
            <w:r w:rsidRPr="00E62D6D">
              <w:rPr>
                <w:rFonts w:eastAsia="Times New Roman" w:cs="Calibri"/>
                <w:b w:val="0"/>
                <w:color w:val="000000"/>
                <w:sz w:val="24"/>
                <w:szCs w:val="24"/>
              </w:rPr>
              <w:t xml:space="preserve"> 2024</w:t>
            </w:r>
          </w:p>
        </w:tc>
      </w:tr>
      <w:tr w:rsidR="00E62D6D" w:rsidRPr="00E62D6D" w:rsidTr="004835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35"/>
          <w:jc w:val="center"/>
        </w:trPr>
        <w:tc>
          <w:tcPr>
            <w:tcW w:w="4961" w:type="dxa"/>
            <w:tcBorders>
              <w:top w:val="nil"/>
              <w:left w:val="single" w:sz="8" w:space="0" w:color="auto"/>
              <w:bottom w:val="single" w:sz="8" w:space="0" w:color="auto"/>
              <w:right w:val="single" w:sz="8" w:space="0" w:color="auto"/>
            </w:tcBorders>
            <w:shd w:val="clear" w:color="auto" w:fill="auto"/>
            <w:vAlign w:val="center"/>
            <w:hideMark/>
          </w:tcPr>
          <w:p w:rsidR="00E62D6D" w:rsidRPr="00E62D6D" w:rsidRDefault="00E62D6D" w:rsidP="00E62D6D">
            <w:pPr>
              <w:spacing w:after="0" w:line="360" w:lineRule="auto"/>
              <w:rPr>
                <w:rFonts w:eastAsia="Times New Roman" w:cs="Calibri"/>
                <w:b w:val="0"/>
                <w:color w:val="000000"/>
                <w:sz w:val="24"/>
                <w:szCs w:val="24"/>
              </w:rPr>
            </w:pPr>
            <w:r w:rsidRPr="00E62D6D">
              <w:rPr>
                <w:rFonts w:eastAsia="Times New Roman" w:cs="Calibri"/>
                <w:bCs/>
                <w:color w:val="000000"/>
                <w:sz w:val="24"/>
                <w:szCs w:val="24"/>
              </w:rPr>
              <w:t>Objetivo Estratégico:</w:t>
            </w:r>
            <w:r w:rsidRPr="00E62D6D">
              <w:rPr>
                <w:rFonts w:eastAsia="Times New Roman" w:cs="Calibri"/>
                <w:b w:val="0"/>
                <w:color w:val="000000"/>
                <w:sz w:val="24"/>
                <w:szCs w:val="24"/>
              </w:rPr>
              <w:t xml:space="preserve"> OE1. Fortalecida la regulación y vigilancia de la política azucarera a nivel nacional.</w:t>
            </w:r>
          </w:p>
        </w:tc>
        <w:tc>
          <w:tcPr>
            <w:tcW w:w="4394" w:type="dxa"/>
            <w:tcBorders>
              <w:top w:val="nil"/>
              <w:left w:val="nil"/>
              <w:bottom w:val="single" w:sz="8" w:space="0" w:color="auto"/>
              <w:right w:val="single" w:sz="8" w:space="0" w:color="auto"/>
            </w:tcBorders>
            <w:shd w:val="clear" w:color="auto" w:fill="auto"/>
            <w:vAlign w:val="center"/>
            <w:hideMark/>
          </w:tcPr>
          <w:p w:rsidR="00E62D6D" w:rsidRPr="00E62D6D" w:rsidRDefault="00E62D6D" w:rsidP="00E62D6D">
            <w:pPr>
              <w:spacing w:after="0" w:line="360" w:lineRule="auto"/>
              <w:rPr>
                <w:rFonts w:eastAsia="Times New Roman" w:cs="Calibri"/>
                <w:b w:val="0"/>
                <w:color w:val="000000"/>
                <w:sz w:val="24"/>
                <w:szCs w:val="24"/>
              </w:rPr>
            </w:pPr>
            <w:r w:rsidRPr="00E62D6D">
              <w:rPr>
                <w:rFonts w:eastAsia="Times New Roman" w:cs="Calibri"/>
                <w:bCs/>
                <w:color w:val="000000"/>
                <w:sz w:val="24"/>
                <w:szCs w:val="24"/>
              </w:rPr>
              <w:t>Valor:</w:t>
            </w:r>
            <w:r w:rsidRPr="00E62D6D">
              <w:rPr>
                <w:rFonts w:eastAsia="Times New Roman" w:cs="Calibri"/>
                <w:b w:val="0"/>
                <w:color w:val="000000"/>
                <w:sz w:val="24"/>
                <w:szCs w:val="24"/>
              </w:rPr>
              <w:t xml:space="preserve"> 8</w:t>
            </w:r>
          </w:p>
        </w:tc>
      </w:tr>
      <w:tr w:rsidR="00E62D6D" w:rsidRPr="00E62D6D" w:rsidTr="004835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jc w:val="center"/>
        </w:trPr>
        <w:tc>
          <w:tcPr>
            <w:tcW w:w="935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E62D6D" w:rsidRPr="00E62D6D" w:rsidRDefault="00E62D6D" w:rsidP="00E62D6D">
            <w:pPr>
              <w:spacing w:after="0" w:line="360" w:lineRule="auto"/>
              <w:rPr>
                <w:rFonts w:eastAsia="Times New Roman" w:cs="Calibri"/>
                <w:b w:val="0"/>
                <w:color w:val="000000"/>
                <w:sz w:val="24"/>
                <w:szCs w:val="24"/>
              </w:rPr>
            </w:pPr>
            <w:r w:rsidRPr="00E62D6D">
              <w:rPr>
                <w:rFonts w:eastAsia="Times New Roman" w:cs="Calibri"/>
                <w:bCs/>
                <w:color w:val="000000"/>
                <w:sz w:val="24"/>
                <w:szCs w:val="24"/>
              </w:rPr>
              <w:t>Descripción del Indicador:</w:t>
            </w:r>
            <w:r w:rsidRPr="00E62D6D">
              <w:rPr>
                <w:rFonts w:eastAsia="Times New Roman" w:cs="Calibri"/>
                <w:b w:val="0"/>
                <w:color w:val="000000"/>
                <w:sz w:val="24"/>
                <w:szCs w:val="24"/>
              </w:rPr>
              <w:t xml:space="preserve"> Número de normas regulatorias de la política azucarera nacional desarrolladas por el INAZUCAR durante el año 2022 (incluye las emitidas por el INAZUCAR y las recomendadas por la Institución al Poder Ejecutivo para su promulgación).</w:t>
            </w:r>
          </w:p>
        </w:tc>
      </w:tr>
      <w:tr w:rsidR="00E62D6D" w:rsidRPr="00E62D6D" w:rsidTr="004835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jc w:val="center"/>
        </w:trPr>
        <w:tc>
          <w:tcPr>
            <w:tcW w:w="935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E62D6D" w:rsidRPr="00E62D6D" w:rsidRDefault="00E62D6D" w:rsidP="00E62D6D">
            <w:pPr>
              <w:spacing w:after="0" w:line="360" w:lineRule="auto"/>
              <w:jc w:val="center"/>
              <w:rPr>
                <w:rFonts w:eastAsia="Times New Roman" w:cs="Calibri"/>
                <w:bCs/>
                <w:color w:val="000000"/>
                <w:sz w:val="24"/>
                <w:szCs w:val="24"/>
              </w:rPr>
            </w:pPr>
            <w:r w:rsidRPr="00E62D6D">
              <w:rPr>
                <w:rFonts w:eastAsia="Times New Roman" w:cs="Calibri"/>
                <w:bCs/>
                <w:color w:val="000000"/>
                <w:sz w:val="24"/>
                <w:szCs w:val="24"/>
              </w:rPr>
              <w:t>Característica del Indicador</w:t>
            </w:r>
          </w:p>
        </w:tc>
      </w:tr>
      <w:tr w:rsidR="00E62D6D" w:rsidRPr="00E62D6D" w:rsidTr="004835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jc w:val="center"/>
        </w:trPr>
        <w:tc>
          <w:tcPr>
            <w:tcW w:w="935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E62D6D" w:rsidRPr="00E62D6D" w:rsidRDefault="00E62D6D" w:rsidP="00E62D6D">
            <w:pPr>
              <w:spacing w:after="0" w:line="360" w:lineRule="auto"/>
              <w:rPr>
                <w:rFonts w:eastAsia="Times New Roman" w:cs="Calibri"/>
                <w:b w:val="0"/>
                <w:color w:val="000000"/>
                <w:sz w:val="24"/>
                <w:szCs w:val="24"/>
              </w:rPr>
            </w:pPr>
            <w:r w:rsidRPr="00E62D6D">
              <w:rPr>
                <w:rFonts w:eastAsia="Times New Roman" w:cs="Calibri"/>
                <w:bCs/>
                <w:color w:val="000000"/>
                <w:sz w:val="24"/>
                <w:szCs w:val="24"/>
              </w:rPr>
              <w:t>Clasificación:</w:t>
            </w:r>
            <w:r w:rsidRPr="00E62D6D">
              <w:rPr>
                <w:rFonts w:eastAsia="Times New Roman" w:cs="Calibri"/>
                <w:b w:val="0"/>
                <w:color w:val="000000"/>
                <w:sz w:val="24"/>
                <w:szCs w:val="24"/>
              </w:rPr>
              <w:t xml:space="preserve"> Eficacia</w:t>
            </w:r>
          </w:p>
        </w:tc>
      </w:tr>
      <w:tr w:rsidR="00E62D6D" w:rsidRPr="00E62D6D" w:rsidTr="004835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5"/>
          <w:jc w:val="center"/>
        </w:trPr>
        <w:tc>
          <w:tcPr>
            <w:tcW w:w="4961" w:type="dxa"/>
            <w:tcBorders>
              <w:top w:val="nil"/>
              <w:left w:val="single" w:sz="8" w:space="0" w:color="auto"/>
              <w:bottom w:val="single" w:sz="8" w:space="0" w:color="auto"/>
              <w:right w:val="single" w:sz="8" w:space="0" w:color="auto"/>
            </w:tcBorders>
            <w:shd w:val="clear" w:color="auto" w:fill="auto"/>
            <w:vAlign w:val="center"/>
            <w:hideMark/>
          </w:tcPr>
          <w:p w:rsidR="00E62D6D" w:rsidRPr="00E62D6D" w:rsidRDefault="00E62D6D" w:rsidP="00E62D6D">
            <w:pPr>
              <w:spacing w:after="0" w:line="360" w:lineRule="auto"/>
              <w:rPr>
                <w:rFonts w:eastAsia="Times New Roman" w:cs="Calibri"/>
                <w:b w:val="0"/>
                <w:color w:val="000000"/>
                <w:sz w:val="24"/>
                <w:szCs w:val="24"/>
              </w:rPr>
            </w:pPr>
            <w:r w:rsidRPr="00E62D6D">
              <w:rPr>
                <w:rFonts w:eastAsia="Times New Roman" w:cs="Calibri"/>
                <w:bCs/>
                <w:color w:val="000000"/>
                <w:sz w:val="24"/>
                <w:szCs w:val="24"/>
              </w:rPr>
              <w:t>Frecuencia de medición:</w:t>
            </w:r>
            <w:r w:rsidRPr="00E62D6D">
              <w:rPr>
                <w:rFonts w:eastAsia="Times New Roman" w:cs="Calibri"/>
                <w:b w:val="0"/>
                <w:color w:val="000000"/>
                <w:sz w:val="24"/>
                <w:szCs w:val="24"/>
              </w:rPr>
              <w:t xml:space="preserve"> Anual</w:t>
            </w:r>
          </w:p>
        </w:tc>
        <w:tc>
          <w:tcPr>
            <w:tcW w:w="4394" w:type="dxa"/>
            <w:tcBorders>
              <w:top w:val="nil"/>
              <w:left w:val="nil"/>
              <w:bottom w:val="single" w:sz="8" w:space="0" w:color="auto"/>
              <w:right w:val="single" w:sz="8" w:space="0" w:color="auto"/>
            </w:tcBorders>
            <w:shd w:val="clear" w:color="auto" w:fill="auto"/>
            <w:vAlign w:val="center"/>
            <w:hideMark/>
          </w:tcPr>
          <w:p w:rsidR="00E62D6D" w:rsidRPr="00E62D6D" w:rsidRDefault="00E62D6D" w:rsidP="00E62D6D">
            <w:pPr>
              <w:spacing w:after="0" w:line="360" w:lineRule="auto"/>
              <w:rPr>
                <w:rFonts w:eastAsia="Times New Roman" w:cs="Calibri"/>
                <w:b w:val="0"/>
                <w:color w:val="000000"/>
                <w:sz w:val="24"/>
                <w:szCs w:val="24"/>
              </w:rPr>
            </w:pPr>
            <w:r w:rsidRPr="00E62D6D">
              <w:rPr>
                <w:rFonts w:eastAsia="Times New Roman" w:cs="Calibri"/>
                <w:bCs/>
                <w:color w:val="000000"/>
                <w:sz w:val="24"/>
                <w:szCs w:val="24"/>
              </w:rPr>
              <w:t>Unidad de Medida:</w:t>
            </w:r>
            <w:r w:rsidRPr="00E62D6D">
              <w:rPr>
                <w:rFonts w:eastAsia="Times New Roman" w:cs="Calibri"/>
                <w:b w:val="0"/>
                <w:color w:val="000000"/>
                <w:sz w:val="24"/>
                <w:szCs w:val="24"/>
              </w:rPr>
              <w:t xml:space="preserve"> Cantidad</w:t>
            </w:r>
          </w:p>
        </w:tc>
      </w:tr>
      <w:tr w:rsidR="00E62D6D" w:rsidRPr="00E62D6D" w:rsidTr="004835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jc w:val="center"/>
        </w:trPr>
        <w:tc>
          <w:tcPr>
            <w:tcW w:w="935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E62D6D" w:rsidRPr="00E62D6D" w:rsidRDefault="00E62D6D" w:rsidP="00E62D6D">
            <w:pPr>
              <w:spacing w:after="0" w:line="360" w:lineRule="auto"/>
              <w:jc w:val="center"/>
              <w:rPr>
                <w:rFonts w:eastAsia="Times New Roman" w:cs="Calibri"/>
                <w:bCs/>
                <w:color w:val="000000"/>
                <w:sz w:val="24"/>
                <w:szCs w:val="24"/>
              </w:rPr>
            </w:pPr>
            <w:r w:rsidRPr="00E62D6D">
              <w:rPr>
                <w:rFonts w:eastAsia="Times New Roman" w:cs="Calibri"/>
                <w:bCs/>
                <w:color w:val="000000"/>
                <w:sz w:val="24"/>
                <w:szCs w:val="24"/>
              </w:rPr>
              <w:t>Calculo y especificación de datos</w:t>
            </w:r>
          </w:p>
        </w:tc>
      </w:tr>
      <w:tr w:rsidR="00E62D6D" w:rsidRPr="00E62D6D" w:rsidTr="004835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jc w:val="center"/>
        </w:trPr>
        <w:tc>
          <w:tcPr>
            <w:tcW w:w="935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E62D6D" w:rsidRPr="00E62D6D" w:rsidRDefault="00E62D6D" w:rsidP="00E62D6D">
            <w:pPr>
              <w:spacing w:after="0" w:line="360" w:lineRule="auto"/>
              <w:rPr>
                <w:rFonts w:eastAsia="Times New Roman" w:cs="Calibri"/>
                <w:b w:val="0"/>
                <w:color w:val="000000"/>
                <w:sz w:val="24"/>
                <w:szCs w:val="24"/>
              </w:rPr>
            </w:pPr>
            <w:r w:rsidRPr="00E62D6D">
              <w:rPr>
                <w:rFonts w:eastAsia="Times New Roman" w:cs="Calibri"/>
                <w:bCs/>
                <w:color w:val="000000"/>
                <w:sz w:val="24"/>
                <w:szCs w:val="24"/>
              </w:rPr>
              <w:t>Fórmula de cálculo:</w:t>
            </w:r>
            <w:r w:rsidRPr="00E62D6D">
              <w:rPr>
                <w:rFonts w:eastAsia="Times New Roman" w:cs="Calibri"/>
                <w:b w:val="0"/>
                <w:color w:val="000000"/>
                <w:sz w:val="24"/>
                <w:szCs w:val="24"/>
              </w:rPr>
              <w:t xml:space="preserve"> Sumatoria</w:t>
            </w:r>
          </w:p>
        </w:tc>
      </w:tr>
      <w:tr w:rsidR="00E62D6D" w:rsidRPr="00E62D6D" w:rsidTr="004835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jc w:val="center"/>
        </w:trPr>
        <w:tc>
          <w:tcPr>
            <w:tcW w:w="935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E62D6D" w:rsidRPr="00E62D6D" w:rsidRDefault="00E62D6D" w:rsidP="00E62D6D">
            <w:pPr>
              <w:spacing w:after="0" w:line="360" w:lineRule="auto"/>
              <w:rPr>
                <w:rFonts w:eastAsia="Times New Roman" w:cs="Calibri"/>
                <w:b w:val="0"/>
                <w:color w:val="000000"/>
                <w:sz w:val="24"/>
                <w:szCs w:val="24"/>
              </w:rPr>
            </w:pPr>
            <w:r w:rsidRPr="00E62D6D">
              <w:rPr>
                <w:rFonts w:eastAsia="Times New Roman" w:cs="Calibri"/>
                <w:bCs/>
                <w:color w:val="000000"/>
                <w:sz w:val="24"/>
                <w:szCs w:val="24"/>
              </w:rPr>
              <w:lastRenderedPageBreak/>
              <w:t>Desagregación demográfica y geográfica:</w:t>
            </w:r>
            <w:r w:rsidRPr="00E62D6D">
              <w:rPr>
                <w:rFonts w:eastAsia="Times New Roman" w:cs="Calibri"/>
                <w:b w:val="0"/>
                <w:color w:val="000000"/>
                <w:sz w:val="24"/>
                <w:szCs w:val="24"/>
              </w:rPr>
              <w:t xml:space="preserve"> N/A</w:t>
            </w:r>
          </w:p>
        </w:tc>
      </w:tr>
      <w:tr w:rsidR="00E62D6D" w:rsidRPr="00E62D6D" w:rsidTr="004835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jc w:val="center"/>
        </w:trPr>
        <w:tc>
          <w:tcPr>
            <w:tcW w:w="935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E62D6D" w:rsidRPr="00E62D6D" w:rsidRDefault="00E62D6D" w:rsidP="00E62D6D">
            <w:pPr>
              <w:spacing w:after="0" w:line="360" w:lineRule="auto"/>
              <w:rPr>
                <w:rFonts w:eastAsia="Times New Roman" w:cs="Calibri"/>
                <w:b w:val="0"/>
                <w:color w:val="000000"/>
                <w:sz w:val="24"/>
                <w:szCs w:val="24"/>
              </w:rPr>
            </w:pPr>
            <w:r w:rsidRPr="00E62D6D">
              <w:rPr>
                <w:rFonts w:eastAsia="Times New Roman" w:cs="Calibri"/>
                <w:bCs/>
                <w:color w:val="000000"/>
                <w:sz w:val="24"/>
                <w:szCs w:val="24"/>
              </w:rPr>
              <w:t>Fuente del dato:</w:t>
            </w:r>
            <w:r w:rsidRPr="00E62D6D">
              <w:rPr>
                <w:rFonts w:eastAsia="Times New Roman" w:cs="Calibri"/>
                <w:b w:val="0"/>
                <w:color w:val="000000"/>
                <w:sz w:val="24"/>
                <w:szCs w:val="24"/>
              </w:rPr>
              <w:t xml:space="preserve"> Consultoría Jurídica del Poder Ejecutivo, Secretaría del Consej</w:t>
            </w:r>
            <w:r w:rsidR="00F2450A">
              <w:rPr>
                <w:rFonts w:eastAsia="Times New Roman" w:cs="Calibri"/>
                <w:b w:val="0"/>
                <w:color w:val="000000"/>
                <w:sz w:val="24"/>
                <w:szCs w:val="24"/>
              </w:rPr>
              <w:t xml:space="preserve">o </w:t>
            </w:r>
            <w:r w:rsidRPr="00E62D6D">
              <w:rPr>
                <w:rFonts w:eastAsia="Times New Roman" w:cs="Calibri"/>
                <w:b w:val="0"/>
                <w:color w:val="000000"/>
                <w:sz w:val="24"/>
                <w:szCs w:val="24"/>
              </w:rPr>
              <w:t>Direct</w:t>
            </w:r>
            <w:r w:rsidR="00F2450A">
              <w:rPr>
                <w:rFonts w:eastAsia="Times New Roman" w:cs="Calibri"/>
                <w:b w:val="0"/>
                <w:color w:val="000000"/>
                <w:sz w:val="24"/>
                <w:szCs w:val="24"/>
              </w:rPr>
              <w:t>ivo</w:t>
            </w:r>
            <w:r w:rsidRPr="00E62D6D">
              <w:rPr>
                <w:rFonts w:eastAsia="Times New Roman" w:cs="Calibri"/>
                <w:b w:val="0"/>
                <w:color w:val="000000"/>
                <w:sz w:val="24"/>
                <w:szCs w:val="24"/>
              </w:rPr>
              <w:t xml:space="preserve"> del INAZUCAR y Memoria Anual del INAZUCAR.</w:t>
            </w:r>
          </w:p>
        </w:tc>
      </w:tr>
      <w:tr w:rsidR="00E62D6D" w:rsidRPr="00E62D6D" w:rsidTr="004835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jc w:val="center"/>
        </w:trPr>
        <w:tc>
          <w:tcPr>
            <w:tcW w:w="935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E62D6D" w:rsidRPr="00E62D6D" w:rsidRDefault="00E62D6D" w:rsidP="00E62D6D">
            <w:pPr>
              <w:spacing w:after="0" w:line="360" w:lineRule="auto"/>
              <w:rPr>
                <w:rFonts w:eastAsia="Times New Roman" w:cs="Calibri"/>
                <w:b w:val="0"/>
                <w:color w:val="000000"/>
                <w:sz w:val="24"/>
                <w:szCs w:val="24"/>
              </w:rPr>
            </w:pPr>
            <w:r w:rsidRPr="00E62D6D">
              <w:rPr>
                <w:rFonts w:eastAsia="Times New Roman" w:cs="Calibri"/>
                <w:bCs/>
                <w:color w:val="000000"/>
                <w:sz w:val="24"/>
                <w:szCs w:val="24"/>
              </w:rPr>
              <w:t>Observaciones:</w:t>
            </w:r>
            <w:r w:rsidRPr="00E62D6D">
              <w:rPr>
                <w:rFonts w:eastAsia="Times New Roman" w:cs="Calibri"/>
                <w:b w:val="0"/>
                <w:color w:val="000000"/>
                <w:sz w:val="24"/>
                <w:szCs w:val="24"/>
              </w:rPr>
              <w:t xml:space="preserve"> Los decretos que regulan la política azucarera nacional son recomendados por el INAZUCAR, pero su promulgación depende del Poder Ejecutivo.</w:t>
            </w:r>
          </w:p>
        </w:tc>
      </w:tr>
    </w:tbl>
    <w:p w:rsidR="009D1A8A" w:rsidRPr="009D1A8A" w:rsidRDefault="009D1A8A" w:rsidP="000C5B5D">
      <w:pPr>
        <w:spacing w:after="0" w:line="360" w:lineRule="auto"/>
        <w:rPr>
          <w:b w:val="0"/>
          <w:bCs/>
          <w:sz w:val="24"/>
          <w:szCs w:val="20"/>
        </w:rPr>
      </w:pPr>
    </w:p>
    <w:tbl>
      <w:tblPr>
        <w:tblW w:w="9340" w:type="dxa"/>
        <w:jc w:val="center"/>
        <w:tblLook w:val="04A0"/>
      </w:tblPr>
      <w:tblGrid>
        <w:gridCol w:w="4952"/>
        <w:gridCol w:w="4388"/>
      </w:tblGrid>
      <w:tr w:rsidR="000C5B5D" w:rsidRPr="000C5B5D" w:rsidTr="003E7B3E">
        <w:trPr>
          <w:trHeight w:val="315"/>
          <w:jc w:val="center"/>
        </w:trPr>
        <w:tc>
          <w:tcPr>
            <w:tcW w:w="93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0C5B5D" w:rsidRPr="000C5B5D" w:rsidRDefault="000C5B5D" w:rsidP="000C5B5D">
            <w:pPr>
              <w:spacing w:after="0" w:line="360" w:lineRule="auto"/>
              <w:jc w:val="center"/>
              <w:rPr>
                <w:rFonts w:eastAsia="Times New Roman" w:cs="Calibri"/>
                <w:bCs/>
                <w:color w:val="000000"/>
                <w:sz w:val="24"/>
                <w:szCs w:val="24"/>
              </w:rPr>
            </w:pPr>
            <w:r w:rsidRPr="000C5B5D">
              <w:rPr>
                <w:rFonts w:eastAsia="Times New Roman" w:cs="Calibri"/>
                <w:bCs/>
                <w:color w:val="000000"/>
                <w:sz w:val="24"/>
                <w:szCs w:val="24"/>
              </w:rPr>
              <w:t>Tabla No. V</w:t>
            </w:r>
            <w:r>
              <w:rPr>
                <w:rFonts w:eastAsia="Times New Roman" w:cs="Calibri"/>
                <w:bCs/>
                <w:color w:val="000000"/>
                <w:sz w:val="24"/>
                <w:szCs w:val="24"/>
              </w:rPr>
              <w:t>I</w:t>
            </w:r>
            <w:r w:rsidRPr="000C5B5D">
              <w:rPr>
                <w:rFonts w:eastAsia="Times New Roman" w:cs="Calibri"/>
                <w:bCs/>
                <w:color w:val="000000"/>
                <w:sz w:val="24"/>
                <w:szCs w:val="24"/>
              </w:rPr>
              <w:t>: Ficha de Indicador 1.2. Sistema de Información</w:t>
            </w:r>
          </w:p>
        </w:tc>
      </w:tr>
      <w:tr w:rsidR="000C5B5D" w:rsidRPr="000C5B5D" w:rsidTr="003E7B3E">
        <w:trPr>
          <w:trHeight w:val="315"/>
          <w:jc w:val="center"/>
        </w:trPr>
        <w:tc>
          <w:tcPr>
            <w:tcW w:w="93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0C5B5D" w:rsidRPr="000C5B5D" w:rsidRDefault="000C5B5D" w:rsidP="000C5B5D">
            <w:pPr>
              <w:spacing w:after="0" w:line="360" w:lineRule="auto"/>
              <w:jc w:val="center"/>
              <w:rPr>
                <w:rFonts w:eastAsia="Times New Roman" w:cs="Calibri"/>
                <w:bCs/>
                <w:color w:val="000000"/>
                <w:sz w:val="24"/>
                <w:szCs w:val="24"/>
              </w:rPr>
            </w:pPr>
            <w:r w:rsidRPr="000C5B5D">
              <w:rPr>
                <w:rFonts w:eastAsia="Times New Roman" w:cs="Calibri"/>
                <w:bCs/>
                <w:color w:val="000000"/>
                <w:sz w:val="24"/>
                <w:szCs w:val="24"/>
              </w:rPr>
              <w:t>Información General del Indicador:</w:t>
            </w:r>
          </w:p>
        </w:tc>
      </w:tr>
      <w:tr w:rsidR="000C5B5D" w:rsidRPr="000C5B5D" w:rsidTr="003E7B3E">
        <w:trPr>
          <w:trHeight w:val="300"/>
          <w:jc w:val="center"/>
        </w:trPr>
        <w:tc>
          <w:tcPr>
            <w:tcW w:w="4952" w:type="dxa"/>
            <w:vMerge w:val="restart"/>
            <w:tcBorders>
              <w:top w:val="nil"/>
              <w:left w:val="single" w:sz="8" w:space="0" w:color="auto"/>
              <w:bottom w:val="single" w:sz="8" w:space="0" w:color="000000"/>
              <w:right w:val="single" w:sz="8" w:space="0" w:color="auto"/>
            </w:tcBorders>
            <w:shd w:val="clear" w:color="auto" w:fill="auto"/>
            <w:vAlign w:val="center"/>
            <w:hideMark/>
          </w:tcPr>
          <w:p w:rsidR="000C5B5D" w:rsidRPr="000C5B5D" w:rsidRDefault="000C5B5D" w:rsidP="000C5B5D">
            <w:pPr>
              <w:spacing w:after="0" w:line="360" w:lineRule="auto"/>
              <w:rPr>
                <w:rFonts w:eastAsia="Times New Roman" w:cs="Calibri"/>
                <w:b w:val="0"/>
                <w:color w:val="000000"/>
                <w:sz w:val="24"/>
                <w:szCs w:val="24"/>
              </w:rPr>
            </w:pPr>
            <w:r w:rsidRPr="000C5B5D">
              <w:rPr>
                <w:rFonts w:eastAsia="Times New Roman" w:cs="Calibri"/>
                <w:bCs/>
                <w:color w:val="000000"/>
                <w:sz w:val="24"/>
                <w:szCs w:val="24"/>
              </w:rPr>
              <w:t>Nombre del indicador:</w:t>
            </w:r>
            <w:r w:rsidRPr="000C5B5D">
              <w:rPr>
                <w:rFonts w:eastAsia="Times New Roman" w:cs="Calibri"/>
                <w:b w:val="0"/>
                <w:color w:val="000000"/>
                <w:sz w:val="24"/>
                <w:szCs w:val="24"/>
              </w:rPr>
              <w:t xml:space="preserve"> 1.2. Sistema de Información.</w:t>
            </w:r>
          </w:p>
        </w:tc>
        <w:tc>
          <w:tcPr>
            <w:tcW w:w="4388" w:type="dxa"/>
            <w:tcBorders>
              <w:top w:val="nil"/>
              <w:left w:val="nil"/>
              <w:bottom w:val="nil"/>
              <w:right w:val="single" w:sz="8" w:space="0" w:color="auto"/>
            </w:tcBorders>
            <w:shd w:val="clear" w:color="auto" w:fill="auto"/>
            <w:vAlign w:val="center"/>
            <w:hideMark/>
          </w:tcPr>
          <w:p w:rsidR="000C5B5D" w:rsidRPr="000C5B5D" w:rsidRDefault="000C5B5D" w:rsidP="000C5B5D">
            <w:pPr>
              <w:spacing w:after="0" w:line="360" w:lineRule="auto"/>
              <w:rPr>
                <w:rFonts w:eastAsia="Times New Roman" w:cs="Calibri"/>
                <w:bCs/>
                <w:color w:val="000000"/>
                <w:sz w:val="24"/>
                <w:szCs w:val="24"/>
              </w:rPr>
            </w:pPr>
            <w:r w:rsidRPr="000C5B5D">
              <w:rPr>
                <w:rFonts w:eastAsia="Times New Roman" w:cs="Calibri"/>
                <w:bCs/>
                <w:color w:val="000000"/>
                <w:sz w:val="24"/>
                <w:szCs w:val="24"/>
              </w:rPr>
              <w:t xml:space="preserve">Línea Base </w:t>
            </w:r>
          </w:p>
        </w:tc>
      </w:tr>
      <w:tr w:rsidR="000C5B5D" w:rsidRPr="000C5B5D" w:rsidTr="003E7B3E">
        <w:trPr>
          <w:trHeight w:val="300"/>
          <w:jc w:val="center"/>
        </w:trPr>
        <w:tc>
          <w:tcPr>
            <w:tcW w:w="4952" w:type="dxa"/>
            <w:vMerge/>
            <w:tcBorders>
              <w:top w:val="nil"/>
              <w:left w:val="single" w:sz="8" w:space="0" w:color="auto"/>
              <w:bottom w:val="single" w:sz="8" w:space="0" w:color="000000"/>
              <w:right w:val="single" w:sz="8" w:space="0" w:color="auto"/>
            </w:tcBorders>
            <w:vAlign w:val="center"/>
            <w:hideMark/>
          </w:tcPr>
          <w:p w:rsidR="000C5B5D" w:rsidRPr="000C5B5D" w:rsidRDefault="000C5B5D" w:rsidP="000C5B5D">
            <w:pPr>
              <w:spacing w:after="0" w:line="360" w:lineRule="auto"/>
              <w:jc w:val="left"/>
              <w:rPr>
                <w:rFonts w:eastAsia="Times New Roman" w:cs="Calibri"/>
                <w:b w:val="0"/>
                <w:color w:val="000000"/>
                <w:sz w:val="24"/>
                <w:szCs w:val="24"/>
              </w:rPr>
            </w:pPr>
          </w:p>
        </w:tc>
        <w:tc>
          <w:tcPr>
            <w:tcW w:w="4388" w:type="dxa"/>
            <w:tcBorders>
              <w:top w:val="nil"/>
              <w:left w:val="nil"/>
              <w:bottom w:val="nil"/>
              <w:right w:val="single" w:sz="8" w:space="0" w:color="auto"/>
            </w:tcBorders>
            <w:shd w:val="clear" w:color="auto" w:fill="auto"/>
            <w:vAlign w:val="center"/>
            <w:hideMark/>
          </w:tcPr>
          <w:p w:rsidR="000C5B5D" w:rsidRPr="000C5B5D" w:rsidRDefault="000C5B5D" w:rsidP="000C5B5D">
            <w:pPr>
              <w:spacing w:after="0" w:line="360" w:lineRule="auto"/>
              <w:rPr>
                <w:rFonts w:eastAsia="Times New Roman" w:cs="Calibri"/>
                <w:b w:val="0"/>
                <w:color w:val="000000"/>
                <w:sz w:val="24"/>
                <w:szCs w:val="24"/>
              </w:rPr>
            </w:pPr>
            <w:r w:rsidRPr="000C5B5D">
              <w:rPr>
                <w:rFonts w:eastAsia="Times New Roman" w:cs="Calibri"/>
                <w:b w:val="0"/>
                <w:color w:val="000000"/>
                <w:sz w:val="24"/>
                <w:szCs w:val="24"/>
              </w:rPr>
              <w:t>Año: 2020</w:t>
            </w:r>
          </w:p>
        </w:tc>
      </w:tr>
      <w:tr w:rsidR="000C5B5D" w:rsidRPr="000C5B5D" w:rsidTr="003E7B3E">
        <w:trPr>
          <w:trHeight w:val="60"/>
          <w:jc w:val="center"/>
        </w:trPr>
        <w:tc>
          <w:tcPr>
            <w:tcW w:w="4952" w:type="dxa"/>
            <w:vMerge/>
            <w:tcBorders>
              <w:top w:val="nil"/>
              <w:left w:val="single" w:sz="8" w:space="0" w:color="auto"/>
              <w:bottom w:val="single" w:sz="8" w:space="0" w:color="000000"/>
              <w:right w:val="single" w:sz="8" w:space="0" w:color="auto"/>
            </w:tcBorders>
            <w:vAlign w:val="center"/>
            <w:hideMark/>
          </w:tcPr>
          <w:p w:rsidR="000C5B5D" w:rsidRPr="000C5B5D" w:rsidRDefault="000C5B5D" w:rsidP="000C5B5D">
            <w:pPr>
              <w:spacing w:after="0" w:line="360" w:lineRule="auto"/>
              <w:jc w:val="left"/>
              <w:rPr>
                <w:rFonts w:eastAsia="Times New Roman" w:cs="Calibri"/>
                <w:b w:val="0"/>
                <w:color w:val="000000"/>
                <w:sz w:val="24"/>
                <w:szCs w:val="24"/>
              </w:rPr>
            </w:pPr>
          </w:p>
        </w:tc>
        <w:tc>
          <w:tcPr>
            <w:tcW w:w="4388" w:type="dxa"/>
            <w:tcBorders>
              <w:top w:val="nil"/>
              <w:left w:val="nil"/>
              <w:bottom w:val="single" w:sz="8" w:space="0" w:color="auto"/>
              <w:right w:val="single" w:sz="8" w:space="0" w:color="auto"/>
            </w:tcBorders>
            <w:shd w:val="clear" w:color="auto" w:fill="auto"/>
            <w:vAlign w:val="center"/>
            <w:hideMark/>
          </w:tcPr>
          <w:p w:rsidR="000C5B5D" w:rsidRPr="000C5B5D" w:rsidRDefault="000C5B5D" w:rsidP="000C5B5D">
            <w:pPr>
              <w:spacing w:after="0" w:line="360" w:lineRule="auto"/>
              <w:rPr>
                <w:rFonts w:eastAsia="Times New Roman" w:cs="Calibri"/>
                <w:b w:val="0"/>
                <w:color w:val="000000"/>
                <w:sz w:val="24"/>
                <w:szCs w:val="24"/>
              </w:rPr>
            </w:pPr>
            <w:r w:rsidRPr="000C5B5D">
              <w:rPr>
                <w:rFonts w:eastAsia="Times New Roman" w:cs="Calibri"/>
                <w:b w:val="0"/>
                <w:color w:val="000000"/>
                <w:sz w:val="24"/>
                <w:szCs w:val="24"/>
              </w:rPr>
              <w:t>Valor: 0</w:t>
            </w:r>
          </w:p>
        </w:tc>
      </w:tr>
      <w:tr w:rsidR="000C5B5D" w:rsidRPr="000C5B5D" w:rsidTr="003E7B3E">
        <w:trPr>
          <w:trHeight w:val="1635"/>
          <w:jc w:val="center"/>
        </w:trPr>
        <w:tc>
          <w:tcPr>
            <w:tcW w:w="4952" w:type="dxa"/>
            <w:tcBorders>
              <w:top w:val="nil"/>
              <w:left w:val="single" w:sz="8" w:space="0" w:color="auto"/>
              <w:bottom w:val="nil"/>
              <w:right w:val="single" w:sz="8" w:space="0" w:color="auto"/>
            </w:tcBorders>
            <w:shd w:val="clear" w:color="auto" w:fill="auto"/>
            <w:vAlign w:val="center"/>
            <w:hideMark/>
          </w:tcPr>
          <w:p w:rsidR="000C5B5D" w:rsidRDefault="000C5B5D" w:rsidP="000C5B5D">
            <w:pPr>
              <w:spacing w:after="0" w:line="360" w:lineRule="auto"/>
              <w:rPr>
                <w:rFonts w:eastAsia="Times New Roman" w:cs="Calibri"/>
                <w:bCs/>
                <w:color w:val="000000"/>
                <w:sz w:val="24"/>
                <w:szCs w:val="24"/>
              </w:rPr>
            </w:pPr>
            <w:r w:rsidRPr="000C5B5D">
              <w:rPr>
                <w:rFonts w:eastAsia="Times New Roman" w:cs="Calibri"/>
                <w:bCs/>
                <w:color w:val="000000"/>
                <w:sz w:val="24"/>
                <w:szCs w:val="24"/>
              </w:rPr>
              <w:t>Línea Estratégica:</w:t>
            </w:r>
            <w:r w:rsidRPr="000C5B5D">
              <w:rPr>
                <w:rFonts w:eastAsia="Times New Roman" w:cs="Calibri"/>
                <w:b w:val="0"/>
                <w:color w:val="000000"/>
                <w:sz w:val="24"/>
                <w:szCs w:val="24"/>
              </w:rPr>
              <w:t xml:space="preserve"> Eje Estratégico No. 1: Políticas, Estudios y Regulación.</w:t>
            </w:r>
          </w:p>
          <w:p w:rsidR="000C5B5D" w:rsidRDefault="000C5B5D" w:rsidP="000C5B5D">
            <w:pPr>
              <w:spacing w:after="0" w:line="360" w:lineRule="auto"/>
              <w:rPr>
                <w:rFonts w:eastAsia="Times New Roman" w:cs="Calibri"/>
                <w:bCs/>
                <w:color w:val="000000"/>
                <w:sz w:val="24"/>
                <w:szCs w:val="24"/>
              </w:rPr>
            </w:pPr>
          </w:p>
          <w:p w:rsidR="000C5B5D" w:rsidRPr="000C5B5D" w:rsidRDefault="000C5B5D" w:rsidP="000C5B5D">
            <w:pPr>
              <w:spacing w:after="0" w:line="360" w:lineRule="auto"/>
              <w:rPr>
                <w:rFonts w:eastAsia="Times New Roman" w:cs="Calibri"/>
                <w:b w:val="0"/>
                <w:color w:val="000000"/>
                <w:sz w:val="24"/>
                <w:szCs w:val="24"/>
              </w:rPr>
            </w:pPr>
            <w:r w:rsidRPr="000C5B5D">
              <w:rPr>
                <w:rFonts w:eastAsia="Times New Roman" w:cs="Calibri"/>
                <w:bCs/>
                <w:color w:val="000000"/>
                <w:sz w:val="24"/>
                <w:szCs w:val="24"/>
              </w:rPr>
              <w:t>Objetivo Estratégico:</w:t>
            </w:r>
            <w:r w:rsidRPr="000C5B5D">
              <w:rPr>
                <w:rFonts w:eastAsia="Times New Roman" w:cs="Calibri"/>
                <w:b w:val="0"/>
                <w:color w:val="000000"/>
                <w:sz w:val="24"/>
                <w:szCs w:val="24"/>
              </w:rPr>
              <w:t xml:space="preserve"> OE1. Fortalecida la regulación y vigilancia de la política azucarera a nivel nacional.</w:t>
            </w:r>
          </w:p>
        </w:tc>
        <w:tc>
          <w:tcPr>
            <w:tcW w:w="4388" w:type="dxa"/>
            <w:tcBorders>
              <w:top w:val="nil"/>
              <w:left w:val="nil"/>
              <w:bottom w:val="nil"/>
              <w:right w:val="single" w:sz="8" w:space="0" w:color="auto"/>
            </w:tcBorders>
            <w:shd w:val="clear" w:color="auto" w:fill="auto"/>
            <w:vAlign w:val="center"/>
            <w:hideMark/>
          </w:tcPr>
          <w:p w:rsidR="000C5B5D" w:rsidRDefault="000C5B5D" w:rsidP="000C5B5D">
            <w:pPr>
              <w:spacing w:after="0" w:line="360" w:lineRule="auto"/>
              <w:rPr>
                <w:rFonts w:eastAsia="Times New Roman" w:cs="Calibri"/>
                <w:b w:val="0"/>
                <w:color w:val="000000"/>
                <w:sz w:val="24"/>
                <w:szCs w:val="24"/>
              </w:rPr>
            </w:pPr>
            <w:r w:rsidRPr="000C5B5D">
              <w:rPr>
                <w:rFonts w:eastAsia="Times New Roman" w:cs="Calibri"/>
                <w:b w:val="0"/>
                <w:color w:val="000000"/>
                <w:sz w:val="24"/>
                <w:szCs w:val="24"/>
              </w:rPr>
              <w:t xml:space="preserve">Meta </w:t>
            </w:r>
          </w:p>
          <w:p w:rsidR="000C5B5D" w:rsidRDefault="000C5B5D" w:rsidP="000C5B5D">
            <w:pPr>
              <w:spacing w:after="0" w:line="360" w:lineRule="auto"/>
              <w:rPr>
                <w:rFonts w:eastAsia="Times New Roman" w:cs="Calibri"/>
                <w:b w:val="0"/>
                <w:color w:val="000000"/>
                <w:sz w:val="24"/>
                <w:szCs w:val="24"/>
              </w:rPr>
            </w:pPr>
            <w:r w:rsidRPr="000C5B5D">
              <w:rPr>
                <w:rFonts w:eastAsia="Times New Roman" w:cs="Calibri"/>
                <w:b w:val="0"/>
                <w:color w:val="000000"/>
                <w:sz w:val="24"/>
                <w:szCs w:val="24"/>
              </w:rPr>
              <w:t xml:space="preserve">Año: 2022 </w:t>
            </w:r>
          </w:p>
          <w:p w:rsidR="000C5B5D" w:rsidRPr="000C5B5D" w:rsidRDefault="000C5B5D" w:rsidP="000C5B5D">
            <w:pPr>
              <w:spacing w:after="0" w:line="360" w:lineRule="auto"/>
              <w:rPr>
                <w:rFonts w:eastAsia="Times New Roman" w:cs="Calibri"/>
                <w:b w:val="0"/>
                <w:color w:val="000000"/>
                <w:sz w:val="24"/>
                <w:szCs w:val="24"/>
              </w:rPr>
            </w:pPr>
            <w:r w:rsidRPr="000C5B5D">
              <w:rPr>
                <w:rFonts w:eastAsia="Times New Roman" w:cs="Calibri"/>
                <w:b w:val="0"/>
                <w:color w:val="000000"/>
                <w:sz w:val="24"/>
                <w:szCs w:val="24"/>
              </w:rPr>
              <w:t>Valor: 1</w:t>
            </w:r>
          </w:p>
        </w:tc>
      </w:tr>
      <w:tr w:rsidR="000C5B5D" w:rsidRPr="000C5B5D" w:rsidTr="003E7B3E">
        <w:trPr>
          <w:trHeight w:val="1050"/>
          <w:jc w:val="center"/>
        </w:trPr>
        <w:tc>
          <w:tcPr>
            <w:tcW w:w="934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C5B5D" w:rsidRPr="000C5B5D" w:rsidRDefault="000C5B5D" w:rsidP="000C5B5D">
            <w:pPr>
              <w:spacing w:after="0" w:line="360" w:lineRule="auto"/>
              <w:rPr>
                <w:rFonts w:eastAsia="Times New Roman" w:cs="Calibri"/>
                <w:b w:val="0"/>
                <w:color w:val="000000"/>
                <w:sz w:val="24"/>
                <w:szCs w:val="24"/>
              </w:rPr>
            </w:pPr>
            <w:r w:rsidRPr="000C5B5D">
              <w:rPr>
                <w:rFonts w:eastAsia="Times New Roman" w:cs="Calibri"/>
                <w:bCs/>
                <w:color w:val="000000"/>
                <w:sz w:val="24"/>
                <w:szCs w:val="24"/>
              </w:rPr>
              <w:t>Descripción del Indicador:</w:t>
            </w:r>
            <w:r w:rsidRPr="000C5B5D">
              <w:rPr>
                <w:rFonts w:eastAsia="Times New Roman" w:cs="Calibri"/>
                <w:b w:val="0"/>
                <w:color w:val="000000"/>
                <w:sz w:val="24"/>
                <w:szCs w:val="24"/>
              </w:rPr>
              <w:t xml:space="preserve"> Disposición de un Sistema de información sobre el azúcar en la República Dominicana que permite monitorear el abastecimiento local y el cumplimiento de las cuotas internacionales al año 2022.</w:t>
            </w:r>
          </w:p>
        </w:tc>
      </w:tr>
      <w:tr w:rsidR="000C5B5D" w:rsidRPr="000C5B5D" w:rsidTr="003E7B3E">
        <w:trPr>
          <w:trHeight w:val="315"/>
          <w:jc w:val="center"/>
        </w:trPr>
        <w:tc>
          <w:tcPr>
            <w:tcW w:w="93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0C5B5D" w:rsidRPr="000C5B5D" w:rsidRDefault="000C5B5D" w:rsidP="000C5B5D">
            <w:pPr>
              <w:spacing w:after="0" w:line="360" w:lineRule="auto"/>
              <w:jc w:val="center"/>
              <w:rPr>
                <w:rFonts w:eastAsia="Times New Roman" w:cs="Calibri"/>
                <w:bCs/>
                <w:color w:val="000000"/>
                <w:sz w:val="24"/>
                <w:szCs w:val="24"/>
              </w:rPr>
            </w:pPr>
            <w:r w:rsidRPr="000C5B5D">
              <w:rPr>
                <w:rFonts w:eastAsia="Times New Roman" w:cs="Calibri"/>
                <w:bCs/>
                <w:color w:val="000000"/>
                <w:sz w:val="24"/>
                <w:szCs w:val="24"/>
              </w:rPr>
              <w:t>Característica del Indicador</w:t>
            </w:r>
          </w:p>
        </w:tc>
      </w:tr>
      <w:tr w:rsidR="000C5B5D" w:rsidRPr="000C5B5D" w:rsidTr="003E7B3E">
        <w:trPr>
          <w:trHeight w:val="315"/>
          <w:jc w:val="center"/>
        </w:trPr>
        <w:tc>
          <w:tcPr>
            <w:tcW w:w="93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0C5B5D" w:rsidRPr="000C5B5D" w:rsidRDefault="000C5B5D" w:rsidP="000C5B5D">
            <w:pPr>
              <w:spacing w:after="0" w:line="360" w:lineRule="auto"/>
              <w:rPr>
                <w:rFonts w:eastAsia="Times New Roman" w:cs="Calibri"/>
                <w:b w:val="0"/>
                <w:color w:val="000000"/>
                <w:sz w:val="24"/>
                <w:szCs w:val="24"/>
              </w:rPr>
            </w:pPr>
            <w:r w:rsidRPr="000C5B5D">
              <w:rPr>
                <w:rFonts w:eastAsia="Times New Roman" w:cs="Calibri"/>
                <w:bCs/>
                <w:color w:val="000000"/>
                <w:sz w:val="24"/>
                <w:szCs w:val="24"/>
              </w:rPr>
              <w:t>Clasificación:</w:t>
            </w:r>
            <w:r w:rsidRPr="000C5B5D">
              <w:rPr>
                <w:rFonts w:eastAsia="Times New Roman" w:cs="Calibri"/>
                <w:b w:val="0"/>
                <w:color w:val="000000"/>
                <w:sz w:val="24"/>
                <w:szCs w:val="24"/>
              </w:rPr>
              <w:t xml:space="preserve"> Calidad</w:t>
            </w:r>
          </w:p>
        </w:tc>
      </w:tr>
      <w:tr w:rsidR="000C5B5D" w:rsidRPr="000C5B5D" w:rsidTr="003E7B3E">
        <w:trPr>
          <w:trHeight w:val="525"/>
          <w:jc w:val="center"/>
        </w:trPr>
        <w:tc>
          <w:tcPr>
            <w:tcW w:w="4952" w:type="dxa"/>
            <w:tcBorders>
              <w:top w:val="nil"/>
              <w:left w:val="single" w:sz="8" w:space="0" w:color="auto"/>
              <w:bottom w:val="single" w:sz="8" w:space="0" w:color="auto"/>
              <w:right w:val="single" w:sz="8" w:space="0" w:color="auto"/>
            </w:tcBorders>
            <w:shd w:val="clear" w:color="auto" w:fill="auto"/>
            <w:vAlign w:val="center"/>
            <w:hideMark/>
          </w:tcPr>
          <w:p w:rsidR="000C5B5D" w:rsidRPr="000C5B5D" w:rsidRDefault="000C5B5D" w:rsidP="000C5B5D">
            <w:pPr>
              <w:spacing w:after="0" w:line="360" w:lineRule="auto"/>
              <w:rPr>
                <w:rFonts w:eastAsia="Times New Roman" w:cs="Calibri"/>
                <w:b w:val="0"/>
                <w:color w:val="000000"/>
                <w:sz w:val="24"/>
                <w:szCs w:val="24"/>
              </w:rPr>
            </w:pPr>
            <w:r w:rsidRPr="000C5B5D">
              <w:rPr>
                <w:rFonts w:eastAsia="Times New Roman" w:cs="Calibri"/>
                <w:bCs/>
                <w:color w:val="000000"/>
                <w:sz w:val="24"/>
                <w:szCs w:val="24"/>
              </w:rPr>
              <w:t>Frecuencia de medición:</w:t>
            </w:r>
            <w:r w:rsidRPr="000C5B5D">
              <w:rPr>
                <w:rFonts w:eastAsia="Times New Roman" w:cs="Calibri"/>
                <w:b w:val="0"/>
                <w:color w:val="000000"/>
                <w:sz w:val="24"/>
                <w:szCs w:val="24"/>
              </w:rPr>
              <w:t xml:space="preserve"> Anual </w:t>
            </w:r>
            <w:r>
              <w:rPr>
                <w:rFonts w:eastAsia="Times New Roman" w:cs="Calibri"/>
                <w:b w:val="0"/>
                <w:color w:val="000000"/>
                <w:sz w:val="24"/>
                <w:szCs w:val="24"/>
              </w:rPr>
              <w:t>(</w:t>
            </w:r>
            <w:r w:rsidRPr="000C5B5D">
              <w:rPr>
                <w:rFonts w:eastAsia="Times New Roman" w:cs="Calibri"/>
                <w:b w:val="0"/>
                <w:color w:val="000000"/>
                <w:sz w:val="24"/>
                <w:szCs w:val="24"/>
              </w:rPr>
              <w:t>2022</w:t>
            </w:r>
            <w:r>
              <w:rPr>
                <w:rFonts w:eastAsia="Times New Roman" w:cs="Calibri"/>
                <w:b w:val="0"/>
                <w:color w:val="000000"/>
                <w:sz w:val="24"/>
                <w:szCs w:val="24"/>
              </w:rPr>
              <w:t>)</w:t>
            </w:r>
          </w:p>
        </w:tc>
        <w:tc>
          <w:tcPr>
            <w:tcW w:w="4388" w:type="dxa"/>
            <w:tcBorders>
              <w:top w:val="nil"/>
              <w:left w:val="nil"/>
              <w:bottom w:val="single" w:sz="8" w:space="0" w:color="auto"/>
              <w:right w:val="single" w:sz="8" w:space="0" w:color="auto"/>
            </w:tcBorders>
            <w:shd w:val="clear" w:color="auto" w:fill="auto"/>
            <w:vAlign w:val="center"/>
            <w:hideMark/>
          </w:tcPr>
          <w:p w:rsidR="000C5B5D" w:rsidRPr="000C5B5D" w:rsidRDefault="000C5B5D" w:rsidP="000C5B5D">
            <w:pPr>
              <w:spacing w:after="0" w:line="360" w:lineRule="auto"/>
              <w:rPr>
                <w:rFonts w:eastAsia="Times New Roman" w:cs="Calibri"/>
                <w:b w:val="0"/>
                <w:color w:val="000000"/>
                <w:sz w:val="24"/>
                <w:szCs w:val="24"/>
              </w:rPr>
            </w:pPr>
            <w:r w:rsidRPr="000C5B5D">
              <w:rPr>
                <w:rFonts w:eastAsia="Times New Roman" w:cs="Calibri"/>
                <w:b w:val="0"/>
                <w:color w:val="000000"/>
                <w:sz w:val="24"/>
                <w:szCs w:val="24"/>
              </w:rPr>
              <w:t>Unidad de Medida: Cantidad</w:t>
            </w:r>
          </w:p>
        </w:tc>
      </w:tr>
      <w:tr w:rsidR="000C5B5D" w:rsidRPr="000C5B5D" w:rsidTr="003E7B3E">
        <w:trPr>
          <w:trHeight w:val="315"/>
          <w:jc w:val="center"/>
        </w:trPr>
        <w:tc>
          <w:tcPr>
            <w:tcW w:w="93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0C5B5D" w:rsidRPr="000C5B5D" w:rsidRDefault="000C5B5D" w:rsidP="000C5B5D">
            <w:pPr>
              <w:spacing w:after="0" w:line="360" w:lineRule="auto"/>
              <w:jc w:val="center"/>
              <w:rPr>
                <w:rFonts w:eastAsia="Times New Roman" w:cs="Calibri"/>
                <w:bCs/>
                <w:color w:val="000000"/>
                <w:sz w:val="24"/>
                <w:szCs w:val="24"/>
              </w:rPr>
            </w:pPr>
            <w:r w:rsidRPr="000C5B5D">
              <w:rPr>
                <w:rFonts w:eastAsia="Times New Roman" w:cs="Calibri"/>
                <w:bCs/>
                <w:color w:val="000000"/>
                <w:sz w:val="24"/>
                <w:szCs w:val="24"/>
              </w:rPr>
              <w:t>Calculo y especificación de datos</w:t>
            </w:r>
          </w:p>
        </w:tc>
      </w:tr>
      <w:tr w:rsidR="000C5B5D" w:rsidRPr="000C5B5D" w:rsidTr="003E7B3E">
        <w:trPr>
          <w:trHeight w:val="315"/>
          <w:jc w:val="center"/>
        </w:trPr>
        <w:tc>
          <w:tcPr>
            <w:tcW w:w="93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0C5B5D" w:rsidRPr="000C5B5D" w:rsidRDefault="000C5B5D" w:rsidP="000C5B5D">
            <w:pPr>
              <w:spacing w:after="0" w:line="360" w:lineRule="auto"/>
              <w:rPr>
                <w:rFonts w:eastAsia="Times New Roman" w:cs="Calibri"/>
                <w:b w:val="0"/>
                <w:color w:val="000000"/>
                <w:sz w:val="24"/>
                <w:szCs w:val="24"/>
              </w:rPr>
            </w:pPr>
            <w:r w:rsidRPr="000C5B5D">
              <w:rPr>
                <w:rFonts w:eastAsia="Times New Roman" w:cs="Calibri"/>
                <w:bCs/>
                <w:color w:val="000000"/>
                <w:sz w:val="24"/>
                <w:szCs w:val="24"/>
              </w:rPr>
              <w:t>Fórmula de cálculo:</w:t>
            </w:r>
            <w:r w:rsidRPr="000C5B5D">
              <w:rPr>
                <w:rFonts w:eastAsia="Times New Roman" w:cs="Calibri"/>
                <w:b w:val="0"/>
                <w:color w:val="000000"/>
                <w:sz w:val="24"/>
                <w:szCs w:val="24"/>
              </w:rPr>
              <w:t xml:space="preserve"> Valor único (1)</w:t>
            </w:r>
          </w:p>
        </w:tc>
      </w:tr>
      <w:tr w:rsidR="000C5B5D" w:rsidRPr="000C5B5D" w:rsidTr="003E7B3E">
        <w:trPr>
          <w:trHeight w:val="315"/>
          <w:jc w:val="center"/>
        </w:trPr>
        <w:tc>
          <w:tcPr>
            <w:tcW w:w="93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0C5B5D" w:rsidRPr="000C5B5D" w:rsidRDefault="000C5B5D" w:rsidP="000C5B5D">
            <w:pPr>
              <w:spacing w:after="0" w:line="360" w:lineRule="auto"/>
              <w:rPr>
                <w:rFonts w:eastAsia="Times New Roman" w:cs="Calibri"/>
                <w:b w:val="0"/>
                <w:color w:val="000000"/>
                <w:sz w:val="24"/>
                <w:szCs w:val="24"/>
              </w:rPr>
            </w:pPr>
            <w:r w:rsidRPr="000C5B5D">
              <w:rPr>
                <w:rFonts w:eastAsia="Times New Roman" w:cs="Calibri"/>
                <w:bCs/>
                <w:color w:val="000000"/>
                <w:sz w:val="24"/>
                <w:szCs w:val="24"/>
              </w:rPr>
              <w:t>Desagregación demográfica y geográfica:</w:t>
            </w:r>
            <w:r w:rsidRPr="000C5B5D">
              <w:rPr>
                <w:rFonts w:eastAsia="Times New Roman" w:cs="Calibri"/>
                <w:b w:val="0"/>
                <w:color w:val="000000"/>
                <w:sz w:val="24"/>
                <w:szCs w:val="24"/>
              </w:rPr>
              <w:t xml:space="preserve"> N/A</w:t>
            </w:r>
          </w:p>
        </w:tc>
      </w:tr>
      <w:tr w:rsidR="000C5B5D" w:rsidRPr="000C5B5D" w:rsidTr="003E7B3E">
        <w:trPr>
          <w:trHeight w:val="630"/>
          <w:jc w:val="center"/>
        </w:trPr>
        <w:tc>
          <w:tcPr>
            <w:tcW w:w="93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0C5B5D" w:rsidRPr="000C5B5D" w:rsidRDefault="000C5B5D" w:rsidP="000C5B5D">
            <w:pPr>
              <w:spacing w:after="0" w:line="360" w:lineRule="auto"/>
              <w:jc w:val="left"/>
              <w:rPr>
                <w:rFonts w:eastAsia="Times New Roman" w:cs="Calibri"/>
                <w:b w:val="0"/>
                <w:color w:val="000000"/>
                <w:sz w:val="24"/>
                <w:szCs w:val="24"/>
              </w:rPr>
            </w:pPr>
            <w:r w:rsidRPr="000C5B5D">
              <w:rPr>
                <w:rFonts w:eastAsia="Times New Roman" w:cs="Calibri"/>
                <w:bCs/>
                <w:color w:val="000000"/>
                <w:sz w:val="24"/>
                <w:szCs w:val="24"/>
              </w:rPr>
              <w:t>Fuente del dato:</w:t>
            </w:r>
            <w:r w:rsidRPr="000C5B5D">
              <w:rPr>
                <w:rFonts w:eastAsia="Times New Roman" w:cs="Calibri"/>
                <w:b w:val="0"/>
                <w:color w:val="000000"/>
                <w:sz w:val="24"/>
                <w:szCs w:val="24"/>
              </w:rPr>
              <w:t xml:space="preserve"> División de Planificación del INAZUCAR y Departamento de Estudios y</w:t>
            </w:r>
            <w:r>
              <w:rPr>
                <w:rFonts w:eastAsia="Times New Roman" w:cs="Calibri"/>
                <w:b w:val="0"/>
                <w:color w:val="000000"/>
                <w:sz w:val="24"/>
                <w:szCs w:val="24"/>
              </w:rPr>
              <w:t xml:space="preserve"> Políticas de</w:t>
            </w:r>
            <w:r w:rsidRPr="000C5B5D">
              <w:rPr>
                <w:rFonts w:eastAsia="Times New Roman" w:cs="Calibri"/>
                <w:b w:val="0"/>
                <w:color w:val="000000"/>
                <w:sz w:val="24"/>
                <w:szCs w:val="24"/>
              </w:rPr>
              <w:t xml:space="preserve"> Diversificación del INAZUCAR</w:t>
            </w:r>
          </w:p>
        </w:tc>
      </w:tr>
      <w:tr w:rsidR="000C5B5D" w:rsidRPr="000C5B5D" w:rsidTr="003E7B3E">
        <w:trPr>
          <w:trHeight w:val="315"/>
          <w:jc w:val="center"/>
        </w:trPr>
        <w:tc>
          <w:tcPr>
            <w:tcW w:w="93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0C5B5D" w:rsidRPr="000C5B5D" w:rsidRDefault="000C5B5D" w:rsidP="000C5B5D">
            <w:pPr>
              <w:spacing w:after="0" w:line="360" w:lineRule="auto"/>
              <w:rPr>
                <w:rFonts w:eastAsia="Times New Roman" w:cs="Calibri"/>
                <w:b w:val="0"/>
                <w:color w:val="000000"/>
                <w:sz w:val="24"/>
                <w:szCs w:val="24"/>
              </w:rPr>
            </w:pPr>
            <w:r w:rsidRPr="000C5B5D">
              <w:rPr>
                <w:rFonts w:eastAsia="Times New Roman" w:cs="Calibri"/>
                <w:b w:val="0"/>
                <w:color w:val="000000"/>
                <w:sz w:val="24"/>
                <w:szCs w:val="24"/>
              </w:rPr>
              <w:t>Observaciones:</w:t>
            </w:r>
          </w:p>
        </w:tc>
      </w:tr>
    </w:tbl>
    <w:p w:rsidR="00DB4AC1" w:rsidRPr="00DB4AC1" w:rsidRDefault="00DB4AC1" w:rsidP="00DB4AC1">
      <w:pPr>
        <w:tabs>
          <w:tab w:val="left" w:pos="1425"/>
        </w:tabs>
        <w:rPr>
          <w:sz w:val="24"/>
          <w:szCs w:val="20"/>
        </w:rPr>
      </w:pPr>
    </w:p>
    <w:tbl>
      <w:tblPr>
        <w:tblW w:w="8996" w:type="dxa"/>
        <w:jc w:val="center"/>
        <w:tblLook w:val="04A0"/>
      </w:tblPr>
      <w:tblGrid>
        <w:gridCol w:w="4810"/>
        <w:gridCol w:w="4186"/>
      </w:tblGrid>
      <w:tr w:rsidR="0027292A" w:rsidRPr="0027292A" w:rsidTr="003E7B3E">
        <w:trPr>
          <w:trHeight w:val="315"/>
          <w:jc w:val="center"/>
        </w:trPr>
        <w:tc>
          <w:tcPr>
            <w:tcW w:w="899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7292A" w:rsidRPr="0027292A" w:rsidRDefault="0027292A" w:rsidP="0027292A">
            <w:pPr>
              <w:spacing w:after="0" w:line="360" w:lineRule="auto"/>
              <w:jc w:val="center"/>
              <w:rPr>
                <w:rFonts w:eastAsia="Times New Roman" w:cs="Calibri"/>
                <w:bCs/>
                <w:color w:val="000000"/>
                <w:sz w:val="24"/>
                <w:szCs w:val="24"/>
              </w:rPr>
            </w:pPr>
            <w:r w:rsidRPr="0027292A">
              <w:rPr>
                <w:rFonts w:eastAsia="Times New Roman" w:cs="Calibri"/>
                <w:bCs/>
                <w:color w:val="000000"/>
                <w:sz w:val="24"/>
                <w:szCs w:val="24"/>
              </w:rPr>
              <w:lastRenderedPageBreak/>
              <w:t>Tabla No. VI: Ficha de Indicador 1.3. Abastecimiento Local</w:t>
            </w:r>
          </w:p>
        </w:tc>
      </w:tr>
      <w:tr w:rsidR="0027292A" w:rsidRPr="0027292A" w:rsidTr="003E7B3E">
        <w:trPr>
          <w:trHeight w:val="315"/>
          <w:jc w:val="center"/>
        </w:trPr>
        <w:tc>
          <w:tcPr>
            <w:tcW w:w="899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7292A" w:rsidRPr="0027292A" w:rsidRDefault="0027292A" w:rsidP="0027292A">
            <w:pPr>
              <w:spacing w:after="0" w:line="360" w:lineRule="auto"/>
              <w:jc w:val="center"/>
              <w:rPr>
                <w:rFonts w:eastAsia="Times New Roman" w:cs="Calibri"/>
                <w:bCs/>
                <w:color w:val="000000"/>
                <w:sz w:val="24"/>
                <w:szCs w:val="24"/>
              </w:rPr>
            </w:pPr>
            <w:r w:rsidRPr="0027292A">
              <w:rPr>
                <w:rFonts w:eastAsia="Times New Roman" w:cs="Calibri"/>
                <w:bCs/>
                <w:color w:val="000000"/>
                <w:sz w:val="24"/>
                <w:szCs w:val="24"/>
              </w:rPr>
              <w:t>Información General del Indicador:</w:t>
            </w:r>
          </w:p>
        </w:tc>
      </w:tr>
      <w:tr w:rsidR="0027292A" w:rsidRPr="0027292A" w:rsidTr="003E7B3E">
        <w:trPr>
          <w:trHeight w:val="300"/>
          <w:jc w:val="center"/>
        </w:trPr>
        <w:tc>
          <w:tcPr>
            <w:tcW w:w="4810" w:type="dxa"/>
            <w:vMerge w:val="restart"/>
            <w:tcBorders>
              <w:top w:val="nil"/>
              <w:left w:val="single" w:sz="8" w:space="0" w:color="auto"/>
              <w:bottom w:val="single" w:sz="8" w:space="0" w:color="000000"/>
              <w:right w:val="single" w:sz="8" w:space="0" w:color="auto"/>
            </w:tcBorders>
            <w:shd w:val="clear" w:color="auto" w:fill="auto"/>
            <w:vAlign w:val="center"/>
            <w:hideMark/>
          </w:tcPr>
          <w:p w:rsidR="0027292A" w:rsidRPr="0027292A" w:rsidRDefault="0027292A" w:rsidP="0027292A">
            <w:pPr>
              <w:spacing w:after="0" w:line="360" w:lineRule="auto"/>
              <w:rPr>
                <w:rFonts w:eastAsia="Times New Roman" w:cs="Calibri"/>
                <w:b w:val="0"/>
                <w:color w:val="000000"/>
                <w:sz w:val="24"/>
                <w:szCs w:val="24"/>
              </w:rPr>
            </w:pPr>
            <w:r w:rsidRPr="0027292A">
              <w:rPr>
                <w:rFonts w:eastAsia="Times New Roman" w:cs="Calibri"/>
                <w:bCs/>
                <w:color w:val="000000"/>
                <w:sz w:val="24"/>
                <w:szCs w:val="24"/>
              </w:rPr>
              <w:t>Nombre del indicador:</w:t>
            </w:r>
            <w:r w:rsidRPr="0027292A">
              <w:rPr>
                <w:rFonts w:eastAsia="Times New Roman" w:cs="Calibri"/>
                <w:b w:val="0"/>
                <w:color w:val="000000"/>
                <w:sz w:val="24"/>
                <w:szCs w:val="24"/>
              </w:rPr>
              <w:t xml:space="preserve"> 1.3. Abastecimiento Local. </w:t>
            </w:r>
          </w:p>
        </w:tc>
        <w:tc>
          <w:tcPr>
            <w:tcW w:w="4186" w:type="dxa"/>
            <w:tcBorders>
              <w:top w:val="nil"/>
              <w:left w:val="nil"/>
              <w:bottom w:val="nil"/>
              <w:right w:val="single" w:sz="8" w:space="0" w:color="auto"/>
            </w:tcBorders>
            <w:shd w:val="clear" w:color="auto" w:fill="auto"/>
            <w:vAlign w:val="center"/>
            <w:hideMark/>
          </w:tcPr>
          <w:p w:rsidR="0027292A" w:rsidRPr="0027292A" w:rsidRDefault="0027292A" w:rsidP="0027292A">
            <w:pPr>
              <w:spacing w:after="0" w:line="360" w:lineRule="auto"/>
              <w:rPr>
                <w:rFonts w:eastAsia="Times New Roman" w:cs="Calibri"/>
                <w:bCs/>
                <w:color w:val="000000"/>
                <w:sz w:val="24"/>
                <w:szCs w:val="24"/>
              </w:rPr>
            </w:pPr>
            <w:r w:rsidRPr="0027292A">
              <w:rPr>
                <w:rFonts w:eastAsia="Times New Roman" w:cs="Calibri"/>
                <w:bCs/>
                <w:color w:val="000000"/>
                <w:sz w:val="24"/>
                <w:szCs w:val="24"/>
              </w:rPr>
              <w:t xml:space="preserve">Línea Base </w:t>
            </w:r>
          </w:p>
        </w:tc>
      </w:tr>
      <w:tr w:rsidR="0027292A" w:rsidRPr="0027292A" w:rsidTr="003E7B3E">
        <w:trPr>
          <w:trHeight w:val="300"/>
          <w:jc w:val="center"/>
        </w:trPr>
        <w:tc>
          <w:tcPr>
            <w:tcW w:w="4810" w:type="dxa"/>
            <w:vMerge/>
            <w:tcBorders>
              <w:top w:val="nil"/>
              <w:left w:val="single" w:sz="8" w:space="0" w:color="auto"/>
              <w:bottom w:val="single" w:sz="8" w:space="0" w:color="000000"/>
              <w:right w:val="single" w:sz="8" w:space="0" w:color="auto"/>
            </w:tcBorders>
            <w:vAlign w:val="center"/>
            <w:hideMark/>
          </w:tcPr>
          <w:p w:rsidR="0027292A" w:rsidRPr="0027292A" w:rsidRDefault="0027292A" w:rsidP="0027292A">
            <w:pPr>
              <w:spacing w:after="0" w:line="360" w:lineRule="auto"/>
              <w:jc w:val="left"/>
              <w:rPr>
                <w:rFonts w:eastAsia="Times New Roman" w:cs="Calibri"/>
                <w:b w:val="0"/>
                <w:color w:val="000000"/>
                <w:sz w:val="24"/>
                <w:szCs w:val="24"/>
              </w:rPr>
            </w:pPr>
          </w:p>
        </w:tc>
        <w:tc>
          <w:tcPr>
            <w:tcW w:w="4186" w:type="dxa"/>
            <w:tcBorders>
              <w:top w:val="nil"/>
              <w:left w:val="nil"/>
              <w:bottom w:val="nil"/>
              <w:right w:val="single" w:sz="8" w:space="0" w:color="auto"/>
            </w:tcBorders>
            <w:shd w:val="clear" w:color="auto" w:fill="auto"/>
            <w:vAlign w:val="center"/>
            <w:hideMark/>
          </w:tcPr>
          <w:p w:rsidR="0027292A" w:rsidRPr="0027292A" w:rsidRDefault="0027292A" w:rsidP="0027292A">
            <w:pPr>
              <w:spacing w:after="0" w:line="360" w:lineRule="auto"/>
              <w:rPr>
                <w:rFonts w:eastAsia="Times New Roman" w:cs="Calibri"/>
                <w:b w:val="0"/>
                <w:color w:val="000000"/>
                <w:sz w:val="24"/>
                <w:szCs w:val="24"/>
              </w:rPr>
            </w:pPr>
            <w:r w:rsidRPr="0027292A">
              <w:rPr>
                <w:rFonts w:eastAsia="Times New Roman" w:cs="Calibri"/>
                <w:bCs/>
                <w:color w:val="000000"/>
                <w:sz w:val="24"/>
                <w:szCs w:val="24"/>
              </w:rPr>
              <w:t>Año:</w:t>
            </w:r>
            <w:r w:rsidRPr="0027292A">
              <w:rPr>
                <w:rFonts w:eastAsia="Times New Roman" w:cs="Calibri"/>
                <w:b w:val="0"/>
                <w:color w:val="000000"/>
                <w:sz w:val="24"/>
                <w:szCs w:val="24"/>
              </w:rPr>
              <w:t xml:space="preserve"> 2020</w:t>
            </w:r>
          </w:p>
        </w:tc>
      </w:tr>
      <w:tr w:rsidR="0027292A" w:rsidRPr="0027292A" w:rsidTr="003E7B3E">
        <w:trPr>
          <w:trHeight w:val="315"/>
          <w:jc w:val="center"/>
        </w:trPr>
        <w:tc>
          <w:tcPr>
            <w:tcW w:w="4810" w:type="dxa"/>
            <w:vMerge/>
            <w:tcBorders>
              <w:top w:val="nil"/>
              <w:left w:val="single" w:sz="8" w:space="0" w:color="auto"/>
              <w:bottom w:val="single" w:sz="8" w:space="0" w:color="000000"/>
              <w:right w:val="single" w:sz="8" w:space="0" w:color="auto"/>
            </w:tcBorders>
            <w:vAlign w:val="center"/>
            <w:hideMark/>
          </w:tcPr>
          <w:p w:rsidR="0027292A" w:rsidRPr="0027292A" w:rsidRDefault="0027292A" w:rsidP="0027292A">
            <w:pPr>
              <w:spacing w:after="0" w:line="360" w:lineRule="auto"/>
              <w:jc w:val="left"/>
              <w:rPr>
                <w:rFonts w:eastAsia="Times New Roman" w:cs="Calibri"/>
                <w:b w:val="0"/>
                <w:color w:val="000000"/>
                <w:sz w:val="24"/>
                <w:szCs w:val="24"/>
              </w:rPr>
            </w:pPr>
          </w:p>
        </w:tc>
        <w:tc>
          <w:tcPr>
            <w:tcW w:w="4186" w:type="dxa"/>
            <w:tcBorders>
              <w:top w:val="nil"/>
              <w:left w:val="nil"/>
              <w:bottom w:val="single" w:sz="8" w:space="0" w:color="auto"/>
              <w:right w:val="single" w:sz="8" w:space="0" w:color="auto"/>
            </w:tcBorders>
            <w:shd w:val="clear" w:color="auto" w:fill="auto"/>
            <w:vAlign w:val="center"/>
            <w:hideMark/>
          </w:tcPr>
          <w:p w:rsidR="0027292A" w:rsidRPr="0027292A" w:rsidRDefault="0027292A" w:rsidP="0027292A">
            <w:pPr>
              <w:spacing w:after="0" w:line="360" w:lineRule="auto"/>
              <w:rPr>
                <w:rFonts w:eastAsia="Times New Roman" w:cs="Calibri"/>
                <w:b w:val="0"/>
                <w:color w:val="000000"/>
                <w:sz w:val="24"/>
                <w:szCs w:val="24"/>
              </w:rPr>
            </w:pPr>
            <w:r w:rsidRPr="0027292A">
              <w:rPr>
                <w:rFonts w:eastAsia="Times New Roman" w:cs="Calibri"/>
                <w:bCs/>
                <w:color w:val="000000"/>
                <w:sz w:val="24"/>
                <w:szCs w:val="24"/>
              </w:rPr>
              <w:t>Valor:</w:t>
            </w:r>
            <w:r w:rsidRPr="0027292A">
              <w:rPr>
                <w:rFonts w:eastAsia="Times New Roman" w:cs="Calibri"/>
                <w:b w:val="0"/>
                <w:color w:val="000000"/>
                <w:sz w:val="24"/>
                <w:szCs w:val="24"/>
              </w:rPr>
              <w:t xml:space="preserve"> 100%</w:t>
            </w:r>
          </w:p>
        </w:tc>
      </w:tr>
      <w:tr w:rsidR="0027292A" w:rsidRPr="0027292A" w:rsidTr="003E7B3E">
        <w:trPr>
          <w:trHeight w:val="765"/>
          <w:jc w:val="center"/>
        </w:trPr>
        <w:tc>
          <w:tcPr>
            <w:tcW w:w="4810" w:type="dxa"/>
            <w:tcBorders>
              <w:top w:val="nil"/>
              <w:left w:val="single" w:sz="8" w:space="0" w:color="auto"/>
              <w:bottom w:val="nil"/>
              <w:right w:val="single" w:sz="8" w:space="0" w:color="auto"/>
            </w:tcBorders>
            <w:shd w:val="clear" w:color="auto" w:fill="auto"/>
            <w:vAlign w:val="center"/>
            <w:hideMark/>
          </w:tcPr>
          <w:p w:rsidR="0027292A" w:rsidRPr="0027292A" w:rsidRDefault="0027292A" w:rsidP="0027292A">
            <w:pPr>
              <w:spacing w:after="0" w:line="360" w:lineRule="auto"/>
              <w:rPr>
                <w:rFonts w:eastAsia="Times New Roman" w:cs="Calibri"/>
                <w:b w:val="0"/>
                <w:color w:val="000000"/>
                <w:sz w:val="24"/>
                <w:szCs w:val="24"/>
              </w:rPr>
            </w:pPr>
            <w:r w:rsidRPr="0027292A">
              <w:rPr>
                <w:rFonts w:eastAsia="Times New Roman" w:cs="Calibri"/>
                <w:bCs/>
                <w:color w:val="000000"/>
                <w:sz w:val="24"/>
                <w:szCs w:val="24"/>
              </w:rPr>
              <w:t>Eje Estratégico:</w:t>
            </w:r>
            <w:r w:rsidRPr="0027292A">
              <w:rPr>
                <w:rFonts w:eastAsia="Times New Roman" w:cs="Calibri"/>
                <w:b w:val="0"/>
                <w:color w:val="000000"/>
                <w:sz w:val="24"/>
                <w:szCs w:val="24"/>
              </w:rPr>
              <w:t xml:space="preserve"> No. 1: Políticas, Estudios y Regulación.</w:t>
            </w:r>
          </w:p>
        </w:tc>
        <w:tc>
          <w:tcPr>
            <w:tcW w:w="4186" w:type="dxa"/>
            <w:tcBorders>
              <w:top w:val="nil"/>
              <w:left w:val="nil"/>
              <w:bottom w:val="nil"/>
              <w:right w:val="single" w:sz="8" w:space="0" w:color="auto"/>
            </w:tcBorders>
            <w:shd w:val="clear" w:color="auto" w:fill="auto"/>
            <w:vAlign w:val="center"/>
            <w:hideMark/>
          </w:tcPr>
          <w:p w:rsidR="0027292A" w:rsidRPr="0027292A" w:rsidRDefault="0027292A" w:rsidP="0027292A">
            <w:pPr>
              <w:spacing w:after="0" w:line="360" w:lineRule="auto"/>
              <w:rPr>
                <w:rFonts w:eastAsia="Times New Roman" w:cs="Calibri"/>
                <w:bCs/>
                <w:color w:val="000000"/>
                <w:sz w:val="24"/>
                <w:szCs w:val="24"/>
              </w:rPr>
            </w:pPr>
            <w:r w:rsidRPr="0027292A">
              <w:rPr>
                <w:rFonts w:eastAsia="Times New Roman" w:cs="Calibri"/>
                <w:bCs/>
                <w:color w:val="000000"/>
                <w:sz w:val="24"/>
                <w:szCs w:val="24"/>
              </w:rPr>
              <w:t>Meta</w:t>
            </w:r>
          </w:p>
        </w:tc>
      </w:tr>
      <w:tr w:rsidR="0027292A" w:rsidRPr="0027292A" w:rsidTr="003E7B3E">
        <w:trPr>
          <w:trHeight w:val="300"/>
          <w:jc w:val="center"/>
        </w:trPr>
        <w:tc>
          <w:tcPr>
            <w:tcW w:w="4810" w:type="dxa"/>
            <w:tcBorders>
              <w:top w:val="nil"/>
              <w:left w:val="single" w:sz="8" w:space="0" w:color="auto"/>
              <w:bottom w:val="nil"/>
              <w:right w:val="single" w:sz="8" w:space="0" w:color="auto"/>
            </w:tcBorders>
            <w:shd w:val="clear" w:color="auto" w:fill="auto"/>
            <w:vAlign w:val="center"/>
            <w:hideMark/>
          </w:tcPr>
          <w:p w:rsidR="0027292A" w:rsidRPr="0027292A" w:rsidRDefault="0027292A" w:rsidP="0027292A">
            <w:pPr>
              <w:spacing w:after="0" w:line="360" w:lineRule="auto"/>
              <w:rPr>
                <w:rFonts w:eastAsia="Times New Roman" w:cs="Calibri"/>
                <w:b w:val="0"/>
                <w:color w:val="000000"/>
                <w:sz w:val="24"/>
                <w:szCs w:val="24"/>
              </w:rPr>
            </w:pPr>
          </w:p>
        </w:tc>
        <w:tc>
          <w:tcPr>
            <w:tcW w:w="4186" w:type="dxa"/>
            <w:tcBorders>
              <w:top w:val="nil"/>
              <w:left w:val="nil"/>
              <w:bottom w:val="nil"/>
              <w:right w:val="single" w:sz="8" w:space="0" w:color="auto"/>
            </w:tcBorders>
            <w:shd w:val="clear" w:color="auto" w:fill="auto"/>
            <w:vAlign w:val="center"/>
            <w:hideMark/>
          </w:tcPr>
          <w:p w:rsidR="0027292A" w:rsidRPr="0027292A" w:rsidRDefault="0027292A" w:rsidP="0027292A">
            <w:pPr>
              <w:spacing w:after="0" w:line="360" w:lineRule="auto"/>
              <w:rPr>
                <w:rFonts w:eastAsia="Times New Roman" w:cs="Calibri"/>
                <w:b w:val="0"/>
                <w:color w:val="000000"/>
                <w:sz w:val="24"/>
                <w:szCs w:val="24"/>
              </w:rPr>
            </w:pPr>
            <w:r w:rsidRPr="0027292A">
              <w:rPr>
                <w:rFonts w:eastAsia="Times New Roman" w:cs="Calibri"/>
                <w:bCs/>
                <w:color w:val="000000"/>
                <w:sz w:val="24"/>
                <w:szCs w:val="24"/>
              </w:rPr>
              <w:t>Año:</w:t>
            </w:r>
            <w:r w:rsidRPr="0027292A">
              <w:rPr>
                <w:rFonts w:eastAsia="Times New Roman" w:cs="Calibri"/>
                <w:b w:val="0"/>
                <w:color w:val="000000"/>
                <w:sz w:val="24"/>
                <w:szCs w:val="24"/>
              </w:rPr>
              <w:t xml:space="preserve"> 2024</w:t>
            </w:r>
          </w:p>
        </w:tc>
      </w:tr>
      <w:tr w:rsidR="0027292A" w:rsidRPr="0027292A" w:rsidTr="003E7B3E">
        <w:trPr>
          <w:trHeight w:val="1035"/>
          <w:jc w:val="center"/>
        </w:trPr>
        <w:tc>
          <w:tcPr>
            <w:tcW w:w="4810" w:type="dxa"/>
            <w:tcBorders>
              <w:top w:val="nil"/>
              <w:left w:val="single" w:sz="8" w:space="0" w:color="auto"/>
              <w:bottom w:val="single" w:sz="8" w:space="0" w:color="auto"/>
              <w:right w:val="single" w:sz="8" w:space="0" w:color="auto"/>
            </w:tcBorders>
            <w:shd w:val="clear" w:color="auto" w:fill="auto"/>
            <w:vAlign w:val="center"/>
            <w:hideMark/>
          </w:tcPr>
          <w:p w:rsidR="0027292A" w:rsidRPr="0027292A" w:rsidRDefault="0027292A" w:rsidP="0027292A">
            <w:pPr>
              <w:spacing w:after="0" w:line="360" w:lineRule="auto"/>
              <w:rPr>
                <w:rFonts w:eastAsia="Times New Roman" w:cs="Calibri"/>
                <w:b w:val="0"/>
                <w:color w:val="000000"/>
                <w:sz w:val="24"/>
                <w:szCs w:val="24"/>
              </w:rPr>
            </w:pPr>
            <w:r w:rsidRPr="0027292A">
              <w:rPr>
                <w:rFonts w:eastAsia="Times New Roman" w:cs="Calibri"/>
                <w:b w:val="0"/>
                <w:color w:val="000000"/>
                <w:sz w:val="24"/>
                <w:szCs w:val="24"/>
              </w:rPr>
              <w:t>Objetivo Estratégico: OE1. Fortalecida la regulación y vigilancia de la política azucarera a nivel nacional.</w:t>
            </w:r>
          </w:p>
        </w:tc>
        <w:tc>
          <w:tcPr>
            <w:tcW w:w="4186" w:type="dxa"/>
            <w:tcBorders>
              <w:top w:val="nil"/>
              <w:left w:val="nil"/>
              <w:bottom w:val="single" w:sz="8" w:space="0" w:color="auto"/>
              <w:right w:val="single" w:sz="8" w:space="0" w:color="auto"/>
            </w:tcBorders>
            <w:shd w:val="clear" w:color="auto" w:fill="auto"/>
            <w:vAlign w:val="center"/>
            <w:hideMark/>
          </w:tcPr>
          <w:p w:rsidR="0027292A" w:rsidRPr="0027292A" w:rsidRDefault="0027292A" w:rsidP="0027292A">
            <w:pPr>
              <w:spacing w:after="0" w:line="360" w:lineRule="auto"/>
              <w:rPr>
                <w:rFonts w:eastAsia="Times New Roman" w:cs="Calibri"/>
                <w:b w:val="0"/>
                <w:color w:val="000000"/>
                <w:sz w:val="24"/>
                <w:szCs w:val="24"/>
              </w:rPr>
            </w:pPr>
            <w:r w:rsidRPr="0027292A">
              <w:rPr>
                <w:rFonts w:eastAsia="Times New Roman" w:cs="Calibri"/>
                <w:bCs/>
                <w:color w:val="000000"/>
                <w:sz w:val="24"/>
                <w:szCs w:val="24"/>
              </w:rPr>
              <w:t>Valor:</w:t>
            </w:r>
            <w:r w:rsidRPr="0027292A">
              <w:rPr>
                <w:rFonts w:eastAsia="Times New Roman" w:cs="Calibri"/>
                <w:b w:val="0"/>
                <w:color w:val="000000"/>
                <w:sz w:val="24"/>
                <w:szCs w:val="24"/>
              </w:rPr>
              <w:t xml:space="preserve"> 100%</w:t>
            </w:r>
          </w:p>
        </w:tc>
      </w:tr>
      <w:tr w:rsidR="0027292A" w:rsidRPr="0027292A" w:rsidTr="003E7B3E">
        <w:trPr>
          <w:trHeight w:val="525"/>
          <w:jc w:val="center"/>
        </w:trPr>
        <w:tc>
          <w:tcPr>
            <w:tcW w:w="899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7292A" w:rsidRPr="0027292A" w:rsidRDefault="0027292A" w:rsidP="0027292A">
            <w:pPr>
              <w:spacing w:after="0" w:line="360" w:lineRule="auto"/>
              <w:rPr>
                <w:rFonts w:eastAsia="Times New Roman" w:cs="Calibri"/>
                <w:b w:val="0"/>
                <w:color w:val="000000"/>
                <w:sz w:val="24"/>
                <w:szCs w:val="24"/>
              </w:rPr>
            </w:pPr>
            <w:r w:rsidRPr="0027292A">
              <w:rPr>
                <w:rFonts w:eastAsia="Times New Roman" w:cs="Calibri"/>
                <w:b w:val="0"/>
                <w:color w:val="000000"/>
                <w:sz w:val="24"/>
                <w:szCs w:val="24"/>
              </w:rPr>
              <w:t>Descripción del Indicador: Garantía de abastecimiento del mercado de la República Dominicana con producción nacional y/o importación, anualmente.</w:t>
            </w:r>
          </w:p>
        </w:tc>
      </w:tr>
      <w:tr w:rsidR="0027292A" w:rsidRPr="0027292A" w:rsidTr="003E7B3E">
        <w:trPr>
          <w:trHeight w:val="315"/>
          <w:jc w:val="center"/>
        </w:trPr>
        <w:tc>
          <w:tcPr>
            <w:tcW w:w="899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7292A" w:rsidRPr="0027292A" w:rsidRDefault="0027292A" w:rsidP="0027292A">
            <w:pPr>
              <w:spacing w:after="0" w:line="360" w:lineRule="auto"/>
              <w:jc w:val="center"/>
              <w:rPr>
                <w:rFonts w:eastAsia="Times New Roman" w:cs="Calibri"/>
                <w:bCs/>
                <w:color w:val="000000"/>
                <w:sz w:val="24"/>
                <w:szCs w:val="24"/>
              </w:rPr>
            </w:pPr>
            <w:r w:rsidRPr="0027292A">
              <w:rPr>
                <w:rFonts w:eastAsia="Times New Roman" w:cs="Calibri"/>
                <w:bCs/>
                <w:color w:val="000000"/>
                <w:sz w:val="24"/>
                <w:szCs w:val="24"/>
              </w:rPr>
              <w:t>Característica del Indicador</w:t>
            </w:r>
          </w:p>
        </w:tc>
      </w:tr>
      <w:tr w:rsidR="0027292A" w:rsidRPr="0027292A" w:rsidTr="003E7B3E">
        <w:trPr>
          <w:trHeight w:val="315"/>
          <w:jc w:val="center"/>
        </w:trPr>
        <w:tc>
          <w:tcPr>
            <w:tcW w:w="899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7292A" w:rsidRPr="0027292A" w:rsidRDefault="0027292A" w:rsidP="0027292A">
            <w:pPr>
              <w:spacing w:after="0" w:line="360" w:lineRule="auto"/>
              <w:rPr>
                <w:rFonts w:eastAsia="Times New Roman" w:cs="Calibri"/>
                <w:b w:val="0"/>
                <w:color w:val="000000"/>
                <w:sz w:val="24"/>
                <w:szCs w:val="24"/>
              </w:rPr>
            </w:pPr>
            <w:r w:rsidRPr="0027292A">
              <w:rPr>
                <w:rFonts w:eastAsia="Times New Roman" w:cs="Calibri"/>
                <w:bCs/>
                <w:color w:val="000000"/>
                <w:sz w:val="24"/>
                <w:szCs w:val="24"/>
              </w:rPr>
              <w:t>Clasificación:</w:t>
            </w:r>
            <w:r w:rsidRPr="0027292A">
              <w:rPr>
                <w:rFonts w:eastAsia="Times New Roman" w:cs="Calibri"/>
                <w:b w:val="0"/>
                <w:color w:val="000000"/>
                <w:sz w:val="24"/>
                <w:szCs w:val="24"/>
              </w:rPr>
              <w:t xml:space="preserve"> Impacto</w:t>
            </w:r>
          </w:p>
        </w:tc>
      </w:tr>
      <w:tr w:rsidR="0027292A" w:rsidRPr="0027292A" w:rsidTr="003E7B3E">
        <w:trPr>
          <w:trHeight w:val="525"/>
          <w:jc w:val="center"/>
        </w:trPr>
        <w:tc>
          <w:tcPr>
            <w:tcW w:w="4810" w:type="dxa"/>
            <w:tcBorders>
              <w:top w:val="nil"/>
              <w:left w:val="single" w:sz="8" w:space="0" w:color="auto"/>
              <w:bottom w:val="single" w:sz="8" w:space="0" w:color="auto"/>
              <w:right w:val="single" w:sz="8" w:space="0" w:color="auto"/>
            </w:tcBorders>
            <w:shd w:val="clear" w:color="auto" w:fill="auto"/>
            <w:vAlign w:val="center"/>
            <w:hideMark/>
          </w:tcPr>
          <w:p w:rsidR="0027292A" w:rsidRPr="0027292A" w:rsidRDefault="0027292A" w:rsidP="0027292A">
            <w:pPr>
              <w:spacing w:after="0" w:line="360" w:lineRule="auto"/>
              <w:rPr>
                <w:rFonts w:eastAsia="Times New Roman" w:cs="Calibri"/>
                <w:b w:val="0"/>
                <w:color w:val="000000"/>
                <w:sz w:val="24"/>
                <w:szCs w:val="24"/>
              </w:rPr>
            </w:pPr>
            <w:r w:rsidRPr="0027292A">
              <w:rPr>
                <w:rFonts w:eastAsia="Times New Roman" w:cs="Calibri"/>
                <w:bCs/>
                <w:color w:val="000000"/>
                <w:sz w:val="24"/>
                <w:szCs w:val="24"/>
              </w:rPr>
              <w:t>Frecuencia de medición:</w:t>
            </w:r>
            <w:r w:rsidRPr="0027292A">
              <w:rPr>
                <w:rFonts w:eastAsia="Times New Roman" w:cs="Calibri"/>
                <w:b w:val="0"/>
                <w:color w:val="000000"/>
                <w:sz w:val="24"/>
                <w:szCs w:val="24"/>
              </w:rPr>
              <w:t xml:space="preserve"> Anual</w:t>
            </w:r>
          </w:p>
        </w:tc>
        <w:tc>
          <w:tcPr>
            <w:tcW w:w="4186" w:type="dxa"/>
            <w:tcBorders>
              <w:top w:val="nil"/>
              <w:left w:val="nil"/>
              <w:bottom w:val="single" w:sz="8" w:space="0" w:color="auto"/>
              <w:right w:val="single" w:sz="8" w:space="0" w:color="auto"/>
            </w:tcBorders>
            <w:shd w:val="clear" w:color="auto" w:fill="auto"/>
            <w:vAlign w:val="center"/>
            <w:hideMark/>
          </w:tcPr>
          <w:p w:rsidR="0027292A" w:rsidRPr="0027292A" w:rsidRDefault="0027292A" w:rsidP="0027292A">
            <w:pPr>
              <w:spacing w:after="0" w:line="360" w:lineRule="auto"/>
              <w:rPr>
                <w:rFonts w:eastAsia="Times New Roman" w:cs="Calibri"/>
                <w:b w:val="0"/>
                <w:color w:val="000000"/>
                <w:sz w:val="24"/>
                <w:szCs w:val="24"/>
              </w:rPr>
            </w:pPr>
            <w:r w:rsidRPr="0027292A">
              <w:rPr>
                <w:rFonts w:eastAsia="Times New Roman" w:cs="Calibri"/>
                <w:bCs/>
                <w:color w:val="000000"/>
                <w:sz w:val="24"/>
                <w:szCs w:val="24"/>
              </w:rPr>
              <w:t>Unidad de Medida:</w:t>
            </w:r>
            <w:r w:rsidRPr="0027292A">
              <w:rPr>
                <w:rFonts w:eastAsia="Times New Roman" w:cs="Calibri"/>
                <w:b w:val="0"/>
                <w:color w:val="000000"/>
                <w:sz w:val="24"/>
                <w:szCs w:val="24"/>
              </w:rPr>
              <w:t xml:space="preserve"> Porcentaje</w:t>
            </w:r>
          </w:p>
        </w:tc>
      </w:tr>
      <w:tr w:rsidR="0027292A" w:rsidRPr="0027292A" w:rsidTr="003E7B3E">
        <w:trPr>
          <w:trHeight w:val="315"/>
          <w:jc w:val="center"/>
        </w:trPr>
        <w:tc>
          <w:tcPr>
            <w:tcW w:w="899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7292A" w:rsidRPr="0027292A" w:rsidRDefault="0027292A" w:rsidP="0027292A">
            <w:pPr>
              <w:spacing w:after="0" w:line="360" w:lineRule="auto"/>
              <w:jc w:val="center"/>
              <w:rPr>
                <w:rFonts w:eastAsia="Times New Roman" w:cs="Calibri"/>
                <w:bCs/>
                <w:color w:val="000000"/>
                <w:sz w:val="24"/>
                <w:szCs w:val="24"/>
              </w:rPr>
            </w:pPr>
            <w:r w:rsidRPr="0027292A">
              <w:rPr>
                <w:rFonts w:eastAsia="Times New Roman" w:cs="Calibri"/>
                <w:bCs/>
                <w:color w:val="000000"/>
                <w:sz w:val="24"/>
                <w:szCs w:val="24"/>
              </w:rPr>
              <w:t>Calculo y especificación de datos</w:t>
            </w:r>
          </w:p>
        </w:tc>
      </w:tr>
      <w:tr w:rsidR="0027292A" w:rsidRPr="0027292A" w:rsidTr="003E7B3E">
        <w:trPr>
          <w:trHeight w:val="315"/>
          <w:jc w:val="center"/>
        </w:trPr>
        <w:tc>
          <w:tcPr>
            <w:tcW w:w="899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7292A" w:rsidRPr="0027292A" w:rsidRDefault="0027292A" w:rsidP="0027292A">
            <w:pPr>
              <w:spacing w:after="0" w:line="360" w:lineRule="auto"/>
              <w:rPr>
                <w:rFonts w:eastAsia="Times New Roman" w:cs="Calibri"/>
                <w:b w:val="0"/>
                <w:color w:val="000000"/>
                <w:sz w:val="24"/>
                <w:szCs w:val="24"/>
              </w:rPr>
            </w:pPr>
            <w:r w:rsidRPr="0027292A">
              <w:rPr>
                <w:rFonts w:eastAsia="Times New Roman" w:cs="Calibri"/>
                <w:bCs/>
                <w:color w:val="000000"/>
                <w:sz w:val="24"/>
                <w:szCs w:val="24"/>
              </w:rPr>
              <w:t>Fórmula de cálculo:</w:t>
            </w:r>
            <w:r w:rsidRPr="0027292A">
              <w:rPr>
                <w:rFonts w:eastAsia="Times New Roman" w:cs="Calibri"/>
                <w:b w:val="0"/>
                <w:color w:val="000000"/>
                <w:sz w:val="24"/>
                <w:szCs w:val="24"/>
              </w:rPr>
              <w:t xml:space="preserve"> AL=OA/DL</w:t>
            </w:r>
          </w:p>
        </w:tc>
      </w:tr>
      <w:tr w:rsidR="0027292A" w:rsidRPr="0027292A" w:rsidTr="003E7B3E">
        <w:trPr>
          <w:trHeight w:val="315"/>
          <w:jc w:val="center"/>
        </w:trPr>
        <w:tc>
          <w:tcPr>
            <w:tcW w:w="899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7292A" w:rsidRPr="0027292A" w:rsidRDefault="0027292A" w:rsidP="0027292A">
            <w:pPr>
              <w:spacing w:after="0" w:line="360" w:lineRule="auto"/>
              <w:rPr>
                <w:rFonts w:eastAsia="Times New Roman" w:cs="Calibri"/>
                <w:b w:val="0"/>
                <w:color w:val="000000"/>
                <w:sz w:val="24"/>
                <w:szCs w:val="24"/>
              </w:rPr>
            </w:pPr>
            <w:r w:rsidRPr="0027292A">
              <w:rPr>
                <w:rFonts w:eastAsia="Times New Roman" w:cs="Calibri"/>
                <w:bCs/>
                <w:color w:val="000000"/>
                <w:sz w:val="24"/>
                <w:szCs w:val="24"/>
              </w:rPr>
              <w:t>Desagregación demográfica y geográfica:</w:t>
            </w:r>
            <w:r w:rsidRPr="0027292A">
              <w:rPr>
                <w:rFonts w:eastAsia="Times New Roman" w:cs="Calibri"/>
                <w:b w:val="0"/>
                <w:color w:val="000000"/>
                <w:sz w:val="24"/>
                <w:szCs w:val="24"/>
              </w:rPr>
              <w:t xml:space="preserve"> N/A</w:t>
            </w:r>
          </w:p>
        </w:tc>
      </w:tr>
      <w:tr w:rsidR="0027292A" w:rsidRPr="0027292A" w:rsidTr="003E7B3E">
        <w:trPr>
          <w:trHeight w:val="450"/>
          <w:jc w:val="center"/>
        </w:trPr>
        <w:tc>
          <w:tcPr>
            <w:tcW w:w="899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7292A" w:rsidRPr="0027292A" w:rsidRDefault="0027292A" w:rsidP="0027292A">
            <w:pPr>
              <w:spacing w:after="0" w:line="360" w:lineRule="auto"/>
              <w:jc w:val="left"/>
              <w:rPr>
                <w:rFonts w:eastAsia="Times New Roman" w:cs="Calibri"/>
                <w:b w:val="0"/>
                <w:color w:val="000000"/>
                <w:sz w:val="24"/>
                <w:szCs w:val="24"/>
              </w:rPr>
            </w:pPr>
            <w:r w:rsidRPr="0027292A">
              <w:rPr>
                <w:rFonts w:eastAsia="Times New Roman" w:cs="Calibri"/>
                <w:bCs/>
                <w:color w:val="000000"/>
                <w:sz w:val="24"/>
                <w:szCs w:val="24"/>
              </w:rPr>
              <w:t>Fuente del dato:</w:t>
            </w:r>
            <w:r w:rsidRPr="0027292A">
              <w:rPr>
                <w:rFonts w:eastAsia="Times New Roman" w:cs="Calibri"/>
                <w:b w:val="0"/>
                <w:color w:val="000000"/>
                <w:sz w:val="24"/>
                <w:szCs w:val="24"/>
              </w:rPr>
              <w:t xml:space="preserve"> Consultoría Jurídica del Poder Ejecutivo, VUCERD, Pro-Consumidor</w:t>
            </w:r>
          </w:p>
        </w:tc>
      </w:tr>
      <w:tr w:rsidR="0027292A" w:rsidRPr="0027292A" w:rsidTr="003E7B3E">
        <w:trPr>
          <w:trHeight w:val="1515"/>
          <w:jc w:val="center"/>
        </w:trPr>
        <w:tc>
          <w:tcPr>
            <w:tcW w:w="899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7292A" w:rsidRPr="0027292A" w:rsidRDefault="0027292A" w:rsidP="0027292A">
            <w:pPr>
              <w:spacing w:after="0" w:line="360" w:lineRule="auto"/>
              <w:rPr>
                <w:rFonts w:eastAsia="Times New Roman" w:cs="Calibri"/>
                <w:b w:val="0"/>
                <w:color w:val="000000"/>
                <w:sz w:val="24"/>
                <w:szCs w:val="24"/>
              </w:rPr>
            </w:pPr>
            <w:r w:rsidRPr="0027292A">
              <w:rPr>
                <w:rFonts w:eastAsia="Times New Roman" w:cs="Calibri"/>
                <w:bCs/>
                <w:color w:val="000000"/>
                <w:sz w:val="24"/>
                <w:szCs w:val="24"/>
              </w:rPr>
              <w:t>Observaciones:</w:t>
            </w:r>
            <w:r w:rsidRPr="0027292A">
              <w:rPr>
                <w:rFonts w:eastAsia="Times New Roman" w:cs="Calibri"/>
                <w:b w:val="0"/>
                <w:color w:val="000000"/>
                <w:sz w:val="24"/>
                <w:szCs w:val="24"/>
              </w:rPr>
              <w:t xml:space="preserve"> Lectura de la Fórmula de cálculo: AL: Abastecimiento Local; DL: Demanda Local; OA: Oferta Autorizada. El volumen de corte de caña para su conversión en azúcar y otros derivados, así como las importaciones de azúcar, son autorizadas mediante decreto del Poder Ejecutivo, previa recomendación del INAZUCAR, con base en estudios y análisis sobre el tema.</w:t>
            </w:r>
          </w:p>
        </w:tc>
      </w:tr>
    </w:tbl>
    <w:p w:rsidR="000D374B" w:rsidRPr="000D374B" w:rsidRDefault="000D374B" w:rsidP="000D374B"/>
    <w:p w:rsidR="007B0D80" w:rsidRDefault="007B0D80" w:rsidP="007B0D80"/>
    <w:p w:rsidR="003E7B3E" w:rsidRDefault="003E7B3E" w:rsidP="007B0D80"/>
    <w:p w:rsidR="0027292A" w:rsidRDefault="0027292A" w:rsidP="007B0D80"/>
    <w:tbl>
      <w:tblPr>
        <w:tblW w:w="8996" w:type="dxa"/>
        <w:jc w:val="center"/>
        <w:tblLook w:val="04A0"/>
      </w:tblPr>
      <w:tblGrid>
        <w:gridCol w:w="4810"/>
        <w:gridCol w:w="4186"/>
      </w:tblGrid>
      <w:tr w:rsidR="0027292A" w:rsidRPr="0027292A" w:rsidTr="003E7B3E">
        <w:trPr>
          <w:trHeight w:val="315"/>
          <w:jc w:val="center"/>
        </w:trPr>
        <w:tc>
          <w:tcPr>
            <w:tcW w:w="899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7292A" w:rsidRPr="0027292A" w:rsidRDefault="0027292A" w:rsidP="0027292A">
            <w:pPr>
              <w:spacing w:after="0" w:line="360" w:lineRule="auto"/>
              <w:jc w:val="center"/>
              <w:rPr>
                <w:rFonts w:eastAsia="Times New Roman" w:cs="Calibri"/>
                <w:bCs/>
                <w:color w:val="000000"/>
                <w:sz w:val="24"/>
                <w:szCs w:val="24"/>
              </w:rPr>
            </w:pPr>
            <w:r w:rsidRPr="0027292A">
              <w:rPr>
                <w:rFonts w:eastAsia="Times New Roman" w:cs="Calibri"/>
                <w:bCs/>
                <w:color w:val="000000"/>
                <w:sz w:val="24"/>
                <w:szCs w:val="24"/>
              </w:rPr>
              <w:lastRenderedPageBreak/>
              <w:t>Tabla No. VII: Ficha del Indicador 1.4. Cumplimiento Cuota Internacional.</w:t>
            </w:r>
          </w:p>
        </w:tc>
      </w:tr>
      <w:tr w:rsidR="0027292A" w:rsidRPr="0027292A" w:rsidTr="003E7B3E">
        <w:trPr>
          <w:trHeight w:val="315"/>
          <w:jc w:val="center"/>
        </w:trPr>
        <w:tc>
          <w:tcPr>
            <w:tcW w:w="899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7292A" w:rsidRPr="0027292A" w:rsidRDefault="0027292A" w:rsidP="0027292A">
            <w:pPr>
              <w:spacing w:after="0" w:line="360" w:lineRule="auto"/>
              <w:jc w:val="center"/>
              <w:rPr>
                <w:rFonts w:eastAsia="Times New Roman" w:cs="Calibri"/>
                <w:bCs/>
                <w:color w:val="000000"/>
                <w:sz w:val="24"/>
                <w:szCs w:val="24"/>
              </w:rPr>
            </w:pPr>
            <w:r w:rsidRPr="0027292A">
              <w:rPr>
                <w:rFonts w:eastAsia="Times New Roman" w:cs="Calibri"/>
                <w:bCs/>
                <w:color w:val="000000"/>
                <w:sz w:val="24"/>
                <w:szCs w:val="24"/>
              </w:rPr>
              <w:t>Información General del Indicador:</w:t>
            </w:r>
          </w:p>
        </w:tc>
      </w:tr>
      <w:tr w:rsidR="0027292A" w:rsidRPr="0027292A" w:rsidTr="003E7B3E">
        <w:trPr>
          <w:trHeight w:val="300"/>
          <w:jc w:val="center"/>
        </w:trPr>
        <w:tc>
          <w:tcPr>
            <w:tcW w:w="4810" w:type="dxa"/>
            <w:vMerge w:val="restart"/>
            <w:tcBorders>
              <w:top w:val="nil"/>
              <w:left w:val="single" w:sz="8" w:space="0" w:color="auto"/>
              <w:bottom w:val="single" w:sz="8" w:space="0" w:color="000000"/>
              <w:right w:val="single" w:sz="8" w:space="0" w:color="auto"/>
            </w:tcBorders>
            <w:shd w:val="clear" w:color="auto" w:fill="auto"/>
            <w:vAlign w:val="center"/>
            <w:hideMark/>
          </w:tcPr>
          <w:p w:rsidR="0027292A" w:rsidRPr="0027292A" w:rsidRDefault="0027292A" w:rsidP="0027292A">
            <w:pPr>
              <w:spacing w:after="0" w:line="360" w:lineRule="auto"/>
              <w:rPr>
                <w:rFonts w:eastAsia="Times New Roman" w:cs="Calibri"/>
                <w:b w:val="0"/>
                <w:color w:val="000000"/>
                <w:sz w:val="24"/>
                <w:szCs w:val="24"/>
              </w:rPr>
            </w:pPr>
            <w:r w:rsidRPr="0027292A">
              <w:rPr>
                <w:rFonts w:eastAsia="Times New Roman" w:cs="Calibri"/>
                <w:bCs/>
                <w:color w:val="000000"/>
                <w:sz w:val="24"/>
                <w:szCs w:val="24"/>
              </w:rPr>
              <w:t>Nombre del indicador:</w:t>
            </w:r>
            <w:r w:rsidRPr="0027292A">
              <w:rPr>
                <w:rFonts w:eastAsia="Times New Roman" w:cs="Calibri"/>
                <w:b w:val="0"/>
                <w:color w:val="000000"/>
                <w:sz w:val="24"/>
                <w:szCs w:val="24"/>
              </w:rPr>
              <w:t xml:space="preserve"> 1.4. Cumplimiento Cuota Internacional.</w:t>
            </w:r>
          </w:p>
        </w:tc>
        <w:tc>
          <w:tcPr>
            <w:tcW w:w="4186" w:type="dxa"/>
            <w:tcBorders>
              <w:top w:val="nil"/>
              <w:left w:val="nil"/>
              <w:bottom w:val="nil"/>
              <w:right w:val="single" w:sz="8" w:space="0" w:color="auto"/>
            </w:tcBorders>
            <w:shd w:val="clear" w:color="auto" w:fill="auto"/>
            <w:vAlign w:val="center"/>
            <w:hideMark/>
          </w:tcPr>
          <w:p w:rsidR="0027292A" w:rsidRPr="0027292A" w:rsidRDefault="0027292A" w:rsidP="0027292A">
            <w:pPr>
              <w:spacing w:after="0" w:line="360" w:lineRule="auto"/>
              <w:rPr>
                <w:rFonts w:eastAsia="Times New Roman" w:cs="Calibri"/>
                <w:bCs/>
                <w:color w:val="000000"/>
                <w:sz w:val="24"/>
                <w:szCs w:val="24"/>
              </w:rPr>
            </w:pPr>
            <w:r w:rsidRPr="0027292A">
              <w:rPr>
                <w:rFonts w:eastAsia="Times New Roman" w:cs="Calibri"/>
                <w:bCs/>
                <w:color w:val="000000"/>
                <w:sz w:val="24"/>
                <w:szCs w:val="24"/>
              </w:rPr>
              <w:t xml:space="preserve">Línea Base </w:t>
            </w:r>
          </w:p>
        </w:tc>
      </w:tr>
      <w:tr w:rsidR="0027292A" w:rsidRPr="0027292A" w:rsidTr="003E7B3E">
        <w:trPr>
          <w:trHeight w:val="300"/>
          <w:jc w:val="center"/>
        </w:trPr>
        <w:tc>
          <w:tcPr>
            <w:tcW w:w="4810" w:type="dxa"/>
            <w:vMerge/>
            <w:tcBorders>
              <w:top w:val="nil"/>
              <w:left w:val="single" w:sz="8" w:space="0" w:color="auto"/>
              <w:bottom w:val="single" w:sz="8" w:space="0" w:color="000000"/>
              <w:right w:val="single" w:sz="8" w:space="0" w:color="auto"/>
            </w:tcBorders>
            <w:vAlign w:val="center"/>
            <w:hideMark/>
          </w:tcPr>
          <w:p w:rsidR="0027292A" w:rsidRPr="0027292A" w:rsidRDefault="0027292A" w:rsidP="0027292A">
            <w:pPr>
              <w:spacing w:after="0" w:line="360" w:lineRule="auto"/>
              <w:jc w:val="left"/>
              <w:rPr>
                <w:rFonts w:eastAsia="Times New Roman" w:cs="Calibri"/>
                <w:b w:val="0"/>
                <w:color w:val="000000"/>
                <w:sz w:val="24"/>
                <w:szCs w:val="24"/>
              </w:rPr>
            </w:pPr>
          </w:p>
        </w:tc>
        <w:tc>
          <w:tcPr>
            <w:tcW w:w="4186" w:type="dxa"/>
            <w:tcBorders>
              <w:top w:val="nil"/>
              <w:left w:val="nil"/>
              <w:bottom w:val="nil"/>
              <w:right w:val="single" w:sz="8" w:space="0" w:color="auto"/>
            </w:tcBorders>
            <w:shd w:val="clear" w:color="auto" w:fill="auto"/>
            <w:vAlign w:val="center"/>
            <w:hideMark/>
          </w:tcPr>
          <w:p w:rsidR="0027292A" w:rsidRPr="0027292A" w:rsidRDefault="0027292A" w:rsidP="0027292A">
            <w:pPr>
              <w:spacing w:after="0" w:line="360" w:lineRule="auto"/>
              <w:rPr>
                <w:rFonts w:eastAsia="Times New Roman" w:cs="Calibri"/>
                <w:b w:val="0"/>
                <w:color w:val="000000"/>
                <w:sz w:val="24"/>
                <w:szCs w:val="24"/>
              </w:rPr>
            </w:pPr>
            <w:r w:rsidRPr="0027292A">
              <w:rPr>
                <w:rFonts w:eastAsia="Times New Roman" w:cs="Calibri"/>
                <w:bCs/>
                <w:color w:val="000000"/>
                <w:sz w:val="24"/>
                <w:szCs w:val="24"/>
              </w:rPr>
              <w:t>Año:</w:t>
            </w:r>
            <w:r w:rsidRPr="0027292A">
              <w:rPr>
                <w:rFonts w:eastAsia="Times New Roman" w:cs="Calibri"/>
                <w:b w:val="0"/>
                <w:color w:val="000000"/>
                <w:sz w:val="24"/>
                <w:szCs w:val="24"/>
              </w:rPr>
              <w:t xml:space="preserve"> 2020</w:t>
            </w:r>
          </w:p>
        </w:tc>
      </w:tr>
      <w:tr w:rsidR="0027292A" w:rsidRPr="0027292A" w:rsidTr="003E7B3E">
        <w:trPr>
          <w:trHeight w:val="315"/>
          <w:jc w:val="center"/>
        </w:trPr>
        <w:tc>
          <w:tcPr>
            <w:tcW w:w="4810" w:type="dxa"/>
            <w:vMerge/>
            <w:tcBorders>
              <w:top w:val="nil"/>
              <w:left w:val="single" w:sz="8" w:space="0" w:color="auto"/>
              <w:bottom w:val="single" w:sz="8" w:space="0" w:color="000000"/>
              <w:right w:val="single" w:sz="8" w:space="0" w:color="auto"/>
            </w:tcBorders>
            <w:vAlign w:val="center"/>
            <w:hideMark/>
          </w:tcPr>
          <w:p w:rsidR="0027292A" w:rsidRPr="0027292A" w:rsidRDefault="0027292A" w:rsidP="0027292A">
            <w:pPr>
              <w:spacing w:after="0" w:line="360" w:lineRule="auto"/>
              <w:jc w:val="left"/>
              <w:rPr>
                <w:rFonts w:eastAsia="Times New Roman" w:cs="Calibri"/>
                <w:b w:val="0"/>
                <w:color w:val="000000"/>
                <w:sz w:val="24"/>
                <w:szCs w:val="24"/>
              </w:rPr>
            </w:pPr>
          </w:p>
        </w:tc>
        <w:tc>
          <w:tcPr>
            <w:tcW w:w="4186" w:type="dxa"/>
            <w:tcBorders>
              <w:top w:val="nil"/>
              <w:left w:val="nil"/>
              <w:bottom w:val="single" w:sz="8" w:space="0" w:color="auto"/>
              <w:right w:val="single" w:sz="8" w:space="0" w:color="auto"/>
            </w:tcBorders>
            <w:shd w:val="clear" w:color="auto" w:fill="auto"/>
            <w:vAlign w:val="center"/>
            <w:hideMark/>
          </w:tcPr>
          <w:p w:rsidR="0027292A" w:rsidRPr="0027292A" w:rsidRDefault="0027292A" w:rsidP="0027292A">
            <w:pPr>
              <w:spacing w:after="0" w:line="360" w:lineRule="auto"/>
              <w:rPr>
                <w:rFonts w:eastAsia="Times New Roman" w:cs="Calibri"/>
                <w:b w:val="0"/>
                <w:color w:val="000000"/>
                <w:sz w:val="24"/>
                <w:szCs w:val="24"/>
              </w:rPr>
            </w:pPr>
            <w:r w:rsidRPr="0027292A">
              <w:rPr>
                <w:rFonts w:eastAsia="Times New Roman" w:cs="Calibri"/>
                <w:bCs/>
                <w:color w:val="000000"/>
                <w:sz w:val="24"/>
                <w:szCs w:val="24"/>
              </w:rPr>
              <w:t>Valor:</w:t>
            </w:r>
            <w:r w:rsidRPr="0027292A">
              <w:rPr>
                <w:rFonts w:eastAsia="Times New Roman" w:cs="Calibri"/>
                <w:b w:val="0"/>
                <w:color w:val="000000"/>
                <w:sz w:val="24"/>
                <w:szCs w:val="24"/>
              </w:rPr>
              <w:t xml:space="preserve"> 100%</w:t>
            </w:r>
          </w:p>
        </w:tc>
      </w:tr>
      <w:tr w:rsidR="0027292A" w:rsidRPr="0027292A" w:rsidTr="003E7B3E">
        <w:trPr>
          <w:trHeight w:val="765"/>
          <w:jc w:val="center"/>
        </w:trPr>
        <w:tc>
          <w:tcPr>
            <w:tcW w:w="4810" w:type="dxa"/>
            <w:tcBorders>
              <w:top w:val="nil"/>
              <w:left w:val="single" w:sz="8" w:space="0" w:color="auto"/>
              <w:bottom w:val="nil"/>
              <w:right w:val="single" w:sz="8" w:space="0" w:color="auto"/>
            </w:tcBorders>
            <w:shd w:val="clear" w:color="auto" w:fill="auto"/>
            <w:vAlign w:val="center"/>
            <w:hideMark/>
          </w:tcPr>
          <w:p w:rsidR="0027292A" w:rsidRPr="0027292A" w:rsidRDefault="0027292A" w:rsidP="0027292A">
            <w:pPr>
              <w:spacing w:after="0" w:line="360" w:lineRule="auto"/>
              <w:rPr>
                <w:rFonts w:eastAsia="Times New Roman" w:cs="Calibri"/>
                <w:b w:val="0"/>
                <w:color w:val="000000"/>
                <w:sz w:val="24"/>
                <w:szCs w:val="24"/>
              </w:rPr>
            </w:pPr>
            <w:r w:rsidRPr="0027292A">
              <w:rPr>
                <w:rFonts w:eastAsia="Times New Roman" w:cs="Calibri"/>
                <w:bCs/>
                <w:color w:val="000000"/>
                <w:sz w:val="24"/>
                <w:szCs w:val="24"/>
              </w:rPr>
              <w:t>Eje Estratégico:</w:t>
            </w:r>
            <w:r w:rsidRPr="0027292A">
              <w:rPr>
                <w:rFonts w:eastAsia="Times New Roman" w:cs="Calibri"/>
                <w:b w:val="0"/>
                <w:color w:val="000000"/>
                <w:sz w:val="24"/>
                <w:szCs w:val="24"/>
              </w:rPr>
              <w:t xml:space="preserve"> No. 1: Políticas, Estudios y Regulación.</w:t>
            </w:r>
          </w:p>
        </w:tc>
        <w:tc>
          <w:tcPr>
            <w:tcW w:w="4186" w:type="dxa"/>
            <w:tcBorders>
              <w:top w:val="nil"/>
              <w:left w:val="nil"/>
              <w:bottom w:val="nil"/>
              <w:right w:val="single" w:sz="8" w:space="0" w:color="auto"/>
            </w:tcBorders>
            <w:shd w:val="clear" w:color="auto" w:fill="auto"/>
            <w:vAlign w:val="center"/>
            <w:hideMark/>
          </w:tcPr>
          <w:p w:rsidR="0027292A" w:rsidRPr="0027292A" w:rsidRDefault="0027292A" w:rsidP="0027292A">
            <w:pPr>
              <w:spacing w:after="0" w:line="360" w:lineRule="auto"/>
              <w:rPr>
                <w:rFonts w:eastAsia="Times New Roman" w:cs="Calibri"/>
                <w:bCs/>
                <w:color w:val="000000"/>
                <w:sz w:val="24"/>
                <w:szCs w:val="24"/>
              </w:rPr>
            </w:pPr>
            <w:r w:rsidRPr="0027292A">
              <w:rPr>
                <w:rFonts w:eastAsia="Times New Roman" w:cs="Calibri"/>
                <w:bCs/>
                <w:color w:val="000000"/>
                <w:sz w:val="24"/>
                <w:szCs w:val="24"/>
              </w:rPr>
              <w:t>Meta</w:t>
            </w:r>
          </w:p>
        </w:tc>
      </w:tr>
      <w:tr w:rsidR="0027292A" w:rsidRPr="0027292A" w:rsidTr="003E7B3E">
        <w:trPr>
          <w:trHeight w:val="300"/>
          <w:jc w:val="center"/>
        </w:trPr>
        <w:tc>
          <w:tcPr>
            <w:tcW w:w="4810" w:type="dxa"/>
            <w:tcBorders>
              <w:top w:val="nil"/>
              <w:left w:val="single" w:sz="8" w:space="0" w:color="auto"/>
              <w:bottom w:val="nil"/>
              <w:right w:val="single" w:sz="8" w:space="0" w:color="auto"/>
            </w:tcBorders>
            <w:shd w:val="clear" w:color="auto" w:fill="auto"/>
            <w:vAlign w:val="center"/>
            <w:hideMark/>
          </w:tcPr>
          <w:p w:rsidR="0027292A" w:rsidRPr="0027292A" w:rsidRDefault="0027292A" w:rsidP="0027292A">
            <w:pPr>
              <w:spacing w:after="0" w:line="360" w:lineRule="auto"/>
              <w:rPr>
                <w:rFonts w:eastAsia="Times New Roman" w:cs="Calibri"/>
                <w:b w:val="0"/>
                <w:color w:val="000000"/>
                <w:sz w:val="24"/>
                <w:szCs w:val="24"/>
              </w:rPr>
            </w:pPr>
            <w:r w:rsidRPr="0027292A">
              <w:rPr>
                <w:rFonts w:eastAsia="Times New Roman" w:cs="Calibri"/>
                <w:b w:val="0"/>
                <w:color w:val="000000"/>
                <w:sz w:val="24"/>
                <w:szCs w:val="24"/>
              </w:rPr>
              <w:t> </w:t>
            </w:r>
          </w:p>
        </w:tc>
        <w:tc>
          <w:tcPr>
            <w:tcW w:w="4186" w:type="dxa"/>
            <w:tcBorders>
              <w:top w:val="nil"/>
              <w:left w:val="nil"/>
              <w:bottom w:val="nil"/>
              <w:right w:val="single" w:sz="8" w:space="0" w:color="auto"/>
            </w:tcBorders>
            <w:shd w:val="clear" w:color="auto" w:fill="auto"/>
            <w:vAlign w:val="center"/>
            <w:hideMark/>
          </w:tcPr>
          <w:p w:rsidR="0027292A" w:rsidRPr="0027292A" w:rsidRDefault="0027292A" w:rsidP="0027292A">
            <w:pPr>
              <w:spacing w:after="0" w:line="360" w:lineRule="auto"/>
              <w:rPr>
                <w:rFonts w:eastAsia="Times New Roman" w:cs="Calibri"/>
                <w:b w:val="0"/>
                <w:color w:val="000000"/>
                <w:sz w:val="24"/>
                <w:szCs w:val="24"/>
              </w:rPr>
            </w:pPr>
            <w:r w:rsidRPr="0027292A">
              <w:rPr>
                <w:rFonts w:eastAsia="Times New Roman" w:cs="Calibri"/>
                <w:bCs/>
                <w:color w:val="000000"/>
                <w:sz w:val="24"/>
                <w:szCs w:val="24"/>
              </w:rPr>
              <w:t>Año:</w:t>
            </w:r>
            <w:r w:rsidRPr="0027292A">
              <w:rPr>
                <w:rFonts w:eastAsia="Times New Roman" w:cs="Calibri"/>
                <w:b w:val="0"/>
                <w:color w:val="000000"/>
                <w:sz w:val="24"/>
                <w:szCs w:val="24"/>
              </w:rPr>
              <w:t xml:space="preserve"> 2024</w:t>
            </w:r>
          </w:p>
        </w:tc>
      </w:tr>
      <w:tr w:rsidR="0027292A" w:rsidRPr="0027292A" w:rsidTr="003E7B3E">
        <w:trPr>
          <w:trHeight w:val="1035"/>
          <w:jc w:val="center"/>
        </w:trPr>
        <w:tc>
          <w:tcPr>
            <w:tcW w:w="4810" w:type="dxa"/>
            <w:tcBorders>
              <w:top w:val="nil"/>
              <w:left w:val="single" w:sz="8" w:space="0" w:color="auto"/>
              <w:bottom w:val="single" w:sz="8" w:space="0" w:color="auto"/>
              <w:right w:val="single" w:sz="8" w:space="0" w:color="auto"/>
            </w:tcBorders>
            <w:shd w:val="clear" w:color="auto" w:fill="auto"/>
            <w:vAlign w:val="center"/>
            <w:hideMark/>
          </w:tcPr>
          <w:p w:rsidR="0027292A" w:rsidRPr="0027292A" w:rsidRDefault="0027292A" w:rsidP="0027292A">
            <w:pPr>
              <w:spacing w:after="0" w:line="360" w:lineRule="auto"/>
              <w:rPr>
                <w:rFonts w:eastAsia="Times New Roman" w:cs="Calibri"/>
                <w:b w:val="0"/>
                <w:color w:val="000000"/>
                <w:sz w:val="24"/>
                <w:szCs w:val="24"/>
              </w:rPr>
            </w:pPr>
            <w:r w:rsidRPr="0027292A">
              <w:rPr>
                <w:rFonts w:eastAsia="Times New Roman" w:cs="Calibri"/>
                <w:bCs/>
                <w:color w:val="000000"/>
                <w:sz w:val="24"/>
                <w:szCs w:val="24"/>
              </w:rPr>
              <w:t>Objetivo Estratégico:</w:t>
            </w:r>
            <w:r w:rsidRPr="0027292A">
              <w:rPr>
                <w:rFonts w:eastAsia="Times New Roman" w:cs="Calibri"/>
                <w:b w:val="0"/>
                <w:color w:val="000000"/>
                <w:sz w:val="24"/>
                <w:szCs w:val="24"/>
              </w:rPr>
              <w:t xml:space="preserve"> OE1. Fortalecida la regulación y vigilancia de la política azucarera a nivel nacional.</w:t>
            </w:r>
          </w:p>
        </w:tc>
        <w:tc>
          <w:tcPr>
            <w:tcW w:w="4186" w:type="dxa"/>
            <w:tcBorders>
              <w:top w:val="nil"/>
              <w:left w:val="nil"/>
              <w:bottom w:val="single" w:sz="8" w:space="0" w:color="auto"/>
              <w:right w:val="single" w:sz="8" w:space="0" w:color="auto"/>
            </w:tcBorders>
            <w:shd w:val="clear" w:color="auto" w:fill="auto"/>
            <w:vAlign w:val="center"/>
            <w:hideMark/>
          </w:tcPr>
          <w:p w:rsidR="0027292A" w:rsidRPr="0027292A" w:rsidRDefault="0027292A" w:rsidP="0027292A">
            <w:pPr>
              <w:spacing w:after="0" w:line="360" w:lineRule="auto"/>
              <w:rPr>
                <w:rFonts w:eastAsia="Times New Roman" w:cs="Calibri"/>
                <w:b w:val="0"/>
                <w:color w:val="000000"/>
                <w:sz w:val="24"/>
                <w:szCs w:val="24"/>
              </w:rPr>
            </w:pPr>
            <w:r w:rsidRPr="0027292A">
              <w:rPr>
                <w:rFonts w:eastAsia="Times New Roman" w:cs="Calibri"/>
                <w:bCs/>
                <w:color w:val="000000"/>
                <w:sz w:val="24"/>
                <w:szCs w:val="24"/>
              </w:rPr>
              <w:t>Valor:</w:t>
            </w:r>
            <w:r w:rsidRPr="0027292A">
              <w:rPr>
                <w:rFonts w:eastAsia="Times New Roman" w:cs="Calibri"/>
                <w:b w:val="0"/>
                <w:color w:val="000000"/>
                <w:sz w:val="24"/>
                <w:szCs w:val="24"/>
              </w:rPr>
              <w:t>100%</w:t>
            </w:r>
          </w:p>
        </w:tc>
      </w:tr>
      <w:tr w:rsidR="0027292A" w:rsidRPr="0027292A" w:rsidTr="003E7B3E">
        <w:trPr>
          <w:trHeight w:val="1065"/>
          <w:jc w:val="center"/>
        </w:trPr>
        <w:tc>
          <w:tcPr>
            <w:tcW w:w="899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7292A" w:rsidRPr="0027292A" w:rsidRDefault="0027292A" w:rsidP="0027292A">
            <w:pPr>
              <w:spacing w:after="0" w:line="360" w:lineRule="auto"/>
              <w:rPr>
                <w:rFonts w:eastAsia="Times New Roman" w:cs="Calibri"/>
                <w:b w:val="0"/>
                <w:color w:val="000000"/>
                <w:sz w:val="24"/>
                <w:szCs w:val="24"/>
              </w:rPr>
            </w:pPr>
            <w:r w:rsidRPr="0027292A">
              <w:rPr>
                <w:rFonts w:eastAsia="Times New Roman" w:cs="Calibri"/>
                <w:bCs/>
                <w:color w:val="000000"/>
                <w:sz w:val="24"/>
                <w:szCs w:val="24"/>
              </w:rPr>
              <w:t>Descripción del Indicador:</w:t>
            </w:r>
            <w:r w:rsidRPr="0027292A">
              <w:rPr>
                <w:rFonts w:eastAsia="Times New Roman" w:cs="Calibri"/>
                <w:b w:val="0"/>
                <w:color w:val="000000"/>
                <w:sz w:val="24"/>
                <w:szCs w:val="24"/>
              </w:rPr>
              <w:t xml:space="preserve"> Garantía de cumplimiento de la República Dominicana con la cuota de exportación al mercado preferencial de EE.UU. y otros mercados internacionales, anualmente.</w:t>
            </w:r>
          </w:p>
        </w:tc>
      </w:tr>
      <w:tr w:rsidR="0027292A" w:rsidRPr="0027292A" w:rsidTr="003E7B3E">
        <w:trPr>
          <w:trHeight w:val="315"/>
          <w:jc w:val="center"/>
        </w:trPr>
        <w:tc>
          <w:tcPr>
            <w:tcW w:w="899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7292A" w:rsidRPr="0027292A" w:rsidRDefault="0027292A" w:rsidP="0027292A">
            <w:pPr>
              <w:spacing w:after="0" w:line="360" w:lineRule="auto"/>
              <w:jc w:val="center"/>
              <w:rPr>
                <w:rFonts w:eastAsia="Times New Roman" w:cs="Calibri"/>
                <w:bCs/>
                <w:color w:val="000000"/>
                <w:sz w:val="24"/>
                <w:szCs w:val="24"/>
              </w:rPr>
            </w:pPr>
            <w:r w:rsidRPr="0027292A">
              <w:rPr>
                <w:rFonts w:eastAsia="Times New Roman" w:cs="Calibri"/>
                <w:bCs/>
                <w:color w:val="000000"/>
                <w:sz w:val="24"/>
                <w:szCs w:val="24"/>
              </w:rPr>
              <w:t>Característica del Indicador</w:t>
            </w:r>
          </w:p>
        </w:tc>
      </w:tr>
      <w:tr w:rsidR="0027292A" w:rsidRPr="0027292A" w:rsidTr="003E7B3E">
        <w:trPr>
          <w:trHeight w:val="315"/>
          <w:jc w:val="center"/>
        </w:trPr>
        <w:tc>
          <w:tcPr>
            <w:tcW w:w="899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7292A" w:rsidRPr="0027292A" w:rsidRDefault="0027292A" w:rsidP="0027292A">
            <w:pPr>
              <w:spacing w:after="0" w:line="360" w:lineRule="auto"/>
              <w:rPr>
                <w:rFonts w:eastAsia="Times New Roman" w:cs="Calibri"/>
                <w:b w:val="0"/>
                <w:color w:val="000000"/>
                <w:sz w:val="24"/>
                <w:szCs w:val="24"/>
              </w:rPr>
            </w:pPr>
            <w:r w:rsidRPr="0027292A">
              <w:rPr>
                <w:rFonts w:eastAsia="Times New Roman" w:cs="Calibri"/>
                <w:bCs/>
                <w:color w:val="000000"/>
                <w:sz w:val="24"/>
                <w:szCs w:val="24"/>
              </w:rPr>
              <w:t>Clasificación:</w:t>
            </w:r>
            <w:r w:rsidRPr="0027292A">
              <w:rPr>
                <w:rFonts w:eastAsia="Times New Roman" w:cs="Calibri"/>
                <w:b w:val="0"/>
                <w:color w:val="000000"/>
                <w:sz w:val="24"/>
                <w:szCs w:val="24"/>
              </w:rPr>
              <w:t xml:space="preserve"> Impacto</w:t>
            </w:r>
          </w:p>
        </w:tc>
      </w:tr>
      <w:tr w:rsidR="0027292A" w:rsidRPr="0027292A" w:rsidTr="003E7B3E">
        <w:trPr>
          <w:trHeight w:val="315"/>
          <w:jc w:val="center"/>
        </w:trPr>
        <w:tc>
          <w:tcPr>
            <w:tcW w:w="4810" w:type="dxa"/>
            <w:tcBorders>
              <w:top w:val="nil"/>
              <w:left w:val="single" w:sz="8" w:space="0" w:color="auto"/>
              <w:bottom w:val="single" w:sz="8" w:space="0" w:color="auto"/>
              <w:right w:val="single" w:sz="8" w:space="0" w:color="auto"/>
            </w:tcBorders>
            <w:shd w:val="clear" w:color="auto" w:fill="auto"/>
            <w:vAlign w:val="center"/>
            <w:hideMark/>
          </w:tcPr>
          <w:p w:rsidR="0027292A" w:rsidRPr="0027292A" w:rsidRDefault="0027292A" w:rsidP="0027292A">
            <w:pPr>
              <w:spacing w:after="0" w:line="360" w:lineRule="auto"/>
              <w:rPr>
                <w:rFonts w:eastAsia="Times New Roman" w:cs="Calibri"/>
                <w:bCs/>
                <w:color w:val="000000"/>
                <w:sz w:val="24"/>
                <w:szCs w:val="24"/>
              </w:rPr>
            </w:pPr>
            <w:r w:rsidRPr="0027292A">
              <w:rPr>
                <w:rFonts w:eastAsia="Times New Roman" w:cs="Calibri"/>
                <w:bCs/>
                <w:color w:val="000000"/>
                <w:sz w:val="24"/>
                <w:szCs w:val="24"/>
              </w:rPr>
              <w:t xml:space="preserve">Frecuencia de medición: </w:t>
            </w:r>
            <w:r w:rsidRPr="0027292A">
              <w:rPr>
                <w:rFonts w:eastAsia="Times New Roman" w:cs="Calibri"/>
                <w:b w:val="0"/>
                <w:color w:val="000000"/>
                <w:sz w:val="24"/>
                <w:szCs w:val="24"/>
              </w:rPr>
              <w:t>Anual</w:t>
            </w:r>
          </w:p>
        </w:tc>
        <w:tc>
          <w:tcPr>
            <w:tcW w:w="4186" w:type="dxa"/>
            <w:tcBorders>
              <w:top w:val="nil"/>
              <w:left w:val="nil"/>
              <w:bottom w:val="single" w:sz="8" w:space="0" w:color="auto"/>
              <w:right w:val="single" w:sz="8" w:space="0" w:color="auto"/>
            </w:tcBorders>
            <w:shd w:val="clear" w:color="auto" w:fill="auto"/>
            <w:vAlign w:val="center"/>
            <w:hideMark/>
          </w:tcPr>
          <w:p w:rsidR="0027292A" w:rsidRPr="0027292A" w:rsidRDefault="0027292A" w:rsidP="0027292A">
            <w:pPr>
              <w:spacing w:after="0" w:line="360" w:lineRule="auto"/>
              <w:rPr>
                <w:rFonts w:eastAsia="Times New Roman" w:cs="Calibri"/>
                <w:bCs/>
                <w:color w:val="000000"/>
                <w:sz w:val="24"/>
                <w:szCs w:val="24"/>
              </w:rPr>
            </w:pPr>
            <w:r w:rsidRPr="0027292A">
              <w:rPr>
                <w:rFonts w:eastAsia="Times New Roman" w:cs="Calibri"/>
                <w:bCs/>
                <w:color w:val="000000"/>
                <w:sz w:val="24"/>
                <w:szCs w:val="24"/>
              </w:rPr>
              <w:t xml:space="preserve">Unidad de Medida: </w:t>
            </w:r>
            <w:r w:rsidRPr="0027292A">
              <w:rPr>
                <w:rFonts w:eastAsia="Times New Roman" w:cs="Calibri"/>
                <w:b w:val="0"/>
                <w:color w:val="000000"/>
                <w:sz w:val="24"/>
                <w:szCs w:val="24"/>
              </w:rPr>
              <w:t xml:space="preserve">Porcentaje </w:t>
            </w:r>
          </w:p>
        </w:tc>
      </w:tr>
      <w:tr w:rsidR="0027292A" w:rsidRPr="0027292A" w:rsidTr="003E7B3E">
        <w:trPr>
          <w:trHeight w:val="315"/>
          <w:jc w:val="center"/>
        </w:trPr>
        <w:tc>
          <w:tcPr>
            <w:tcW w:w="899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7292A" w:rsidRPr="0027292A" w:rsidRDefault="0027292A" w:rsidP="0027292A">
            <w:pPr>
              <w:spacing w:after="0" w:line="360" w:lineRule="auto"/>
              <w:jc w:val="center"/>
              <w:rPr>
                <w:rFonts w:eastAsia="Times New Roman" w:cs="Calibri"/>
                <w:bCs/>
                <w:color w:val="000000"/>
                <w:sz w:val="24"/>
                <w:szCs w:val="24"/>
              </w:rPr>
            </w:pPr>
            <w:r w:rsidRPr="0027292A">
              <w:rPr>
                <w:rFonts w:eastAsia="Times New Roman" w:cs="Calibri"/>
                <w:bCs/>
                <w:color w:val="000000"/>
                <w:sz w:val="24"/>
                <w:szCs w:val="24"/>
              </w:rPr>
              <w:t>Calculo y especificación de datos</w:t>
            </w:r>
          </w:p>
        </w:tc>
      </w:tr>
      <w:tr w:rsidR="0027292A" w:rsidRPr="0027292A" w:rsidTr="003E7B3E">
        <w:trPr>
          <w:trHeight w:val="315"/>
          <w:jc w:val="center"/>
        </w:trPr>
        <w:tc>
          <w:tcPr>
            <w:tcW w:w="899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7292A" w:rsidRPr="0027292A" w:rsidRDefault="0027292A" w:rsidP="0027292A">
            <w:pPr>
              <w:spacing w:after="0" w:line="360" w:lineRule="auto"/>
              <w:rPr>
                <w:rFonts w:eastAsia="Times New Roman" w:cs="Calibri"/>
                <w:b w:val="0"/>
                <w:color w:val="000000"/>
                <w:sz w:val="24"/>
                <w:szCs w:val="24"/>
              </w:rPr>
            </w:pPr>
            <w:r w:rsidRPr="0027292A">
              <w:rPr>
                <w:rFonts w:eastAsia="Times New Roman" w:cs="Calibri"/>
                <w:bCs/>
                <w:color w:val="000000"/>
                <w:sz w:val="24"/>
                <w:szCs w:val="24"/>
              </w:rPr>
              <w:t>Fórmula de cálculo:</w:t>
            </w:r>
            <w:r w:rsidRPr="0027292A">
              <w:rPr>
                <w:rFonts w:eastAsia="Times New Roman" w:cs="Calibri"/>
                <w:b w:val="0"/>
                <w:color w:val="000000"/>
                <w:sz w:val="24"/>
                <w:szCs w:val="24"/>
              </w:rPr>
              <w:t xml:space="preserve"> GC=VA/CA</w:t>
            </w:r>
          </w:p>
        </w:tc>
      </w:tr>
      <w:tr w:rsidR="0027292A" w:rsidRPr="0027292A" w:rsidTr="003E7B3E">
        <w:trPr>
          <w:trHeight w:val="315"/>
          <w:jc w:val="center"/>
        </w:trPr>
        <w:tc>
          <w:tcPr>
            <w:tcW w:w="899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7292A" w:rsidRPr="0027292A" w:rsidRDefault="0027292A" w:rsidP="0027292A">
            <w:pPr>
              <w:spacing w:after="0" w:line="360" w:lineRule="auto"/>
              <w:rPr>
                <w:rFonts w:eastAsia="Times New Roman" w:cs="Calibri"/>
                <w:bCs/>
                <w:color w:val="000000"/>
                <w:sz w:val="24"/>
                <w:szCs w:val="24"/>
              </w:rPr>
            </w:pPr>
            <w:r w:rsidRPr="0027292A">
              <w:rPr>
                <w:rFonts w:eastAsia="Times New Roman" w:cs="Calibri"/>
                <w:bCs/>
                <w:color w:val="000000"/>
                <w:sz w:val="24"/>
                <w:szCs w:val="24"/>
              </w:rPr>
              <w:t>Desagregación demográfica y geográfica: N/A</w:t>
            </w:r>
          </w:p>
        </w:tc>
      </w:tr>
      <w:tr w:rsidR="0027292A" w:rsidRPr="0027292A" w:rsidTr="003E7B3E">
        <w:trPr>
          <w:trHeight w:val="570"/>
          <w:jc w:val="center"/>
        </w:trPr>
        <w:tc>
          <w:tcPr>
            <w:tcW w:w="899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7292A" w:rsidRPr="0027292A" w:rsidRDefault="0027292A" w:rsidP="0027292A">
            <w:pPr>
              <w:spacing w:after="0" w:line="360" w:lineRule="auto"/>
              <w:jc w:val="left"/>
              <w:rPr>
                <w:rFonts w:eastAsia="Times New Roman" w:cs="Calibri"/>
                <w:b w:val="0"/>
                <w:color w:val="000000"/>
                <w:sz w:val="24"/>
                <w:szCs w:val="24"/>
              </w:rPr>
            </w:pPr>
            <w:r w:rsidRPr="0027292A">
              <w:rPr>
                <w:rFonts w:eastAsia="Times New Roman" w:cs="Calibri"/>
                <w:bCs/>
                <w:color w:val="000000"/>
                <w:sz w:val="24"/>
                <w:szCs w:val="24"/>
              </w:rPr>
              <w:t>Fuente del dato:</w:t>
            </w:r>
            <w:r w:rsidRPr="0027292A">
              <w:rPr>
                <w:rFonts w:eastAsia="Times New Roman" w:cs="Calibri"/>
                <w:b w:val="0"/>
                <w:color w:val="000000"/>
                <w:sz w:val="24"/>
                <w:szCs w:val="24"/>
              </w:rPr>
              <w:t xml:space="preserve"> Consultoría Jurídica del Poder Ejecutivo, VUCERD</w:t>
            </w:r>
            <w:r w:rsidR="008C6D71">
              <w:rPr>
                <w:rFonts w:eastAsia="Times New Roman" w:cs="Calibri"/>
                <w:b w:val="0"/>
                <w:color w:val="000000"/>
                <w:sz w:val="24"/>
                <w:szCs w:val="24"/>
              </w:rPr>
              <w:t xml:space="preserve">, </w:t>
            </w:r>
            <w:r w:rsidR="008C6D71" w:rsidRPr="008C6D71">
              <w:rPr>
                <w:rFonts w:eastAsia="Times New Roman" w:cs="Calibri"/>
                <w:b w:val="0"/>
                <w:color w:val="000000"/>
                <w:sz w:val="24"/>
                <w:szCs w:val="24"/>
              </w:rPr>
              <w:t>Observatorio Dominicano de la Caña.</w:t>
            </w:r>
          </w:p>
        </w:tc>
      </w:tr>
      <w:tr w:rsidR="0027292A" w:rsidRPr="0027292A" w:rsidTr="003E7B3E">
        <w:trPr>
          <w:trHeight w:val="1290"/>
          <w:jc w:val="center"/>
        </w:trPr>
        <w:tc>
          <w:tcPr>
            <w:tcW w:w="899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7292A" w:rsidRPr="0027292A" w:rsidRDefault="0027292A" w:rsidP="0027292A">
            <w:pPr>
              <w:spacing w:after="0" w:line="360" w:lineRule="auto"/>
              <w:rPr>
                <w:rFonts w:eastAsia="Times New Roman" w:cs="Calibri"/>
                <w:b w:val="0"/>
                <w:color w:val="000000"/>
                <w:sz w:val="24"/>
                <w:szCs w:val="24"/>
              </w:rPr>
            </w:pPr>
            <w:r w:rsidRPr="0027292A">
              <w:rPr>
                <w:rFonts w:eastAsia="Times New Roman" w:cs="Calibri"/>
                <w:bCs/>
                <w:color w:val="000000"/>
                <w:sz w:val="24"/>
                <w:szCs w:val="24"/>
              </w:rPr>
              <w:t>Observaciones:</w:t>
            </w:r>
            <w:r w:rsidRPr="0027292A">
              <w:rPr>
                <w:rFonts w:eastAsia="Times New Roman" w:cs="Calibri"/>
                <w:b w:val="0"/>
                <w:color w:val="000000"/>
                <w:sz w:val="24"/>
                <w:szCs w:val="24"/>
              </w:rPr>
              <w:t xml:space="preserve"> Lectura de la Fórmula de cálculo: GC: Garantía de Cumplimiento; VA: Volumen Autorizado; CA: Cuota Asignada. El volumen de exportación de azúcar es autorizado mediante decreto del Poder Ejecutivo, previa recomendación del INAZUCAR, con base en estudios y análisis sobre el tema, así como la cuota de exportación asignada por el mercado preferencial de EE</w:t>
            </w:r>
            <w:r>
              <w:rPr>
                <w:rFonts w:eastAsia="Times New Roman" w:cs="Calibri"/>
                <w:b w:val="0"/>
                <w:color w:val="000000"/>
                <w:sz w:val="24"/>
                <w:szCs w:val="24"/>
              </w:rPr>
              <w:t>.</w:t>
            </w:r>
            <w:r w:rsidRPr="0027292A">
              <w:rPr>
                <w:rFonts w:eastAsia="Times New Roman" w:cs="Calibri"/>
                <w:b w:val="0"/>
                <w:color w:val="000000"/>
                <w:sz w:val="24"/>
                <w:szCs w:val="24"/>
              </w:rPr>
              <w:t>UU.</w:t>
            </w:r>
          </w:p>
        </w:tc>
      </w:tr>
    </w:tbl>
    <w:p w:rsidR="0027292A" w:rsidRDefault="0027292A" w:rsidP="007B0D80"/>
    <w:p w:rsidR="007B0D80" w:rsidRDefault="007B0D80" w:rsidP="007B0D80"/>
    <w:p w:rsidR="00D5409D" w:rsidRDefault="00D5409D" w:rsidP="007B0D80"/>
    <w:tbl>
      <w:tblPr>
        <w:tblW w:w="8921" w:type="dxa"/>
        <w:jc w:val="center"/>
        <w:tblLook w:val="04A0"/>
      </w:tblPr>
      <w:tblGrid>
        <w:gridCol w:w="4810"/>
        <w:gridCol w:w="4111"/>
      </w:tblGrid>
      <w:tr w:rsidR="00D5409D" w:rsidRPr="00D5409D" w:rsidTr="003E7B3E">
        <w:trPr>
          <w:trHeight w:val="315"/>
          <w:jc w:val="center"/>
        </w:trPr>
        <w:tc>
          <w:tcPr>
            <w:tcW w:w="892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5409D" w:rsidRPr="00D5409D" w:rsidRDefault="00D5409D" w:rsidP="00D5409D">
            <w:pPr>
              <w:spacing w:after="0" w:line="360" w:lineRule="auto"/>
              <w:jc w:val="center"/>
              <w:rPr>
                <w:rFonts w:eastAsia="Times New Roman" w:cs="Calibri"/>
                <w:bCs/>
                <w:color w:val="000000"/>
                <w:sz w:val="24"/>
                <w:szCs w:val="24"/>
              </w:rPr>
            </w:pPr>
            <w:r w:rsidRPr="00D5409D">
              <w:rPr>
                <w:rFonts w:eastAsia="Times New Roman" w:cs="Calibri"/>
                <w:bCs/>
                <w:color w:val="000000"/>
                <w:sz w:val="24"/>
                <w:szCs w:val="24"/>
              </w:rPr>
              <w:lastRenderedPageBreak/>
              <w:t>Tabla No. VIII: Ficha del Indicador 1.5.  equilibrio rentabilidad- acceso</w:t>
            </w:r>
          </w:p>
        </w:tc>
      </w:tr>
      <w:tr w:rsidR="00D5409D" w:rsidRPr="00D5409D" w:rsidTr="003E7B3E">
        <w:trPr>
          <w:trHeight w:val="315"/>
          <w:jc w:val="center"/>
        </w:trPr>
        <w:tc>
          <w:tcPr>
            <w:tcW w:w="892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5409D" w:rsidRPr="00D5409D" w:rsidRDefault="00D5409D" w:rsidP="00D5409D">
            <w:pPr>
              <w:spacing w:after="0" w:line="360" w:lineRule="auto"/>
              <w:jc w:val="center"/>
              <w:rPr>
                <w:rFonts w:eastAsia="Times New Roman" w:cs="Calibri"/>
                <w:bCs/>
                <w:color w:val="000000"/>
                <w:sz w:val="24"/>
                <w:szCs w:val="24"/>
              </w:rPr>
            </w:pPr>
            <w:r w:rsidRPr="00D5409D">
              <w:rPr>
                <w:rFonts w:eastAsia="Times New Roman" w:cs="Calibri"/>
                <w:bCs/>
                <w:color w:val="000000"/>
                <w:sz w:val="24"/>
                <w:szCs w:val="24"/>
              </w:rPr>
              <w:t>Información General del Indicador:</w:t>
            </w:r>
          </w:p>
        </w:tc>
      </w:tr>
      <w:tr w:rsidR="00D5409D" w:rsidRPr="00D5409D" w:rsidTr="003E7B3E">
        <w:trPr>
          <w:trHeight w:val="300"/>
          <w:jc w:val="center"/>
        </w:trPr>
        <w:tc>
          <w:tcPr>
            <w:tcW w:w="4810" w:type="dxa"/>
            <w:vMerge w:val="restart"/>
            <w:tcBorders>
              <w:top w:val="nil"/>
              <w:left w:val="single" w:sz="8" w:space="0" w:color="auto"/>
              <w:bottom w:val="single" w:sz="8" w:space="0" w:color="000000"/>
              <w:right w:val="single" w:sz="8" w:space="0" w:color="auto"/>
            </w:tcBorders>
            <w:shd w:val="clear" w:color="auto" w:fill="auto"/>
            <w:vAlign w:val="center"/>
            <w:hideMark/>
          </w:tcPr>
          <w:p w:rsidR="00D5409D" w:rsidRPr="00D5409D" w:rsidRDefault="00D5409D" w:rsidP="00D5409D">
            <w:pPr>
              <w:spacing w:after="0" w:line="360" w:lineRule="auto"/>
              <w:rPr>
                <w:rFonts w:eastAsia="Times New Roman" w:cs="Calibri"/>
                <w:b w:val="0"/>
                <w:color w:val="000000"/>
                <w:sz w:val="24"/>
                <w:szCs w:val="24"/>
              </w:rPr>
            </w:pPr>
            <w:r w:rsidRPr="00D5409D">
              <w:rPr>
                <w:rFonts w:eastAsia="Times New Roman" w:cs="Calibri"/>
                <w:bCs/>
                <w:color w:val="000000"/>
                <w:sz w:val="24"/>
                <w:szCs w:val="24"/>
              </w:rPr>
              <w:t>Nombre del indicador:</w:t>
            </w:r>
            <w:r w:rsidRPr="00D5409D">
              <w:rPr>
                <w:rFonts w:eastAsia="Times New Roman" w:cs="Calibri"/>
                <w:b w:val="0"/>
                <w:color w:val="000000"/>
                <w:sz w:val="24"/>
                <w:szCs w:val="24"/>
              </w:rPr>
              <w:t xml:space="preserve"> 1.5.  equilibrio rentabilidad- acceso.</w:t>
            </w:r>
          </w:p>
        </w:tc>
        <w:tc>
          <w:tcPr>
            <w:tcW w:w="4111" w:type="dxa"/>
            <w:tcBorders>
              <w:top w:val="nil"/>
              <w:left w:val="nil"/>
              <w:bottom w:val="nil"/>
              <w:right w:val="single" w:sz="8" w:space="0" w:color="auto"/>
            </w:tcBorders>
            <w:shd w:val="clear" w:color="auto" w:fill="auto"/>
            <w:vAlign w:val="center"/>
            <w:hideMark/>
          </w:tcPr>
          <w:p w:rsidR="00D5409D" w:rsidRPr="00D5409D" w:rsidRDefault="00D5409D" w:rsidP="00D5409D">
            <w:pPr>
              <w:spacing w:after="0" w:line="360" w:lineRule="auto"/>
              <w:rPr>
                <w:rFonts w:eastAsia="Times New Roman" w:cs="Calibri"/>
                <w:bCs/>
                <w:color w:val="000000"/>
                <w:sz w:val="24"/>
                <w:szCs w:val="24"/>
              </w:rPr>
            </w:pPr>
            <w:r w:rsidRPr="00D5409D">
              <w:rPr>
                <w:rFonts w:eastAsia="Times New Roman" w:cs="Calibri"/>
                <w:bCs/>
                <w:color w:val="000000"/>
                <w:sz w:val="24"/>
                <w:szCs w:val="24"/>
              </w:rPr>
              <w:t xml:space="preserve">Línea Base </w:t>
            </w:r>
          </w:p>
        </w:tc>
      </w:tr>
      <w:tr w:rsidR="00D5409D" w:rsidRPr="00D5409D" w:rsidTr="003E7B3E">
        <w:trPr>
          <w:trHeight w:val="300"/>
          <w:jc w:val="center"/>
        </w:trPr>
        <w:tc>
          <w:tcPr>
            <w:tcW w:w="4810" w:type="dxa"/>
            <w:vMerge/>
            <w:tcBorders>
              <w:top w:val="nil"/>
              <w:left w:val="single" w:sz="8" w:space="0" w:color="auto"/>
              <w:bottom w:val="single" w:sz="8" w:space="0" w:color="000000"/>
              <w:right w:val="single" w:sz="8" w:space="0" w:color="auto"/>
            </w:tcBorders>
            <w:vAlign w:val="center"/>
            <w:hideMark/>
          </w:tcPr>
          <w:p w:rsidR="00D5409D" w:rsidRPr="00D5409D" w:rsidRDefault="00D5409D" w:rsidP="00D5409D">
            <w:pPr>
              <w:spacing w:after="0" w:line="360" w:lineRule="auto"/>
              <w:jc w:val="left"/>
              <w:rPr>
                <w:rFonts w:eastAsia="Times New Roman" w:cs="Calibri"/>
                <w:b w:val="0"/>
                <w:color w:val="000000"/>
                <w:sz w:val="24"/>
                <w:szCs w:val="24"/>
              </w:rPr>
            </w:pPr>
          </w:p>
        </w:tc>
        <w:tc>
          <w:tcPr>
            <w:tcW w:w="4111" w:type="dxa"/>
            <w:tcBorders>
              <w:top w:val="nil"/>
              <w:left w:val="nil"/>
              <w:bottom w:val="nil"/>
              <w:right w:val="single" w:sz="8" w:space="0" w:color="auto"/>
            </w:tcBorders>
            <w:shd w:val="clear" w:color="auto" w:fill="auto"/>
            <w:vAlign w:val="center"/>
            <w:hideMark/>
          </w:tcPr>
          <w:p w:rsidR="00D5409D" w:rsidRPr="00D5409D" w:rsidRDefault="00D5409D" w:rsidP="00D5409D">
            <w:pPr>
              <w:spacing w:after="0" w:line="360" w:lineRule="auto"/>
              <w:rPr>
                <w:rFonts w:eastAsia="Times New Roman" w:cs="Calibri"/>
                <w:b w:val="0"/>
                <w:color w:val="000000"/>
                <w:sz w:val="24"/>
                <w:szCs w:val="24"/>
              </w:rPr>
            </w:pPr>
            <w:r w:rsidRPr="00D5409D">
              <w:rPr>
                <w:rFonts w:eastAsia="Times New Roman" w:cs="Calibri"/>
                <w:bCs/>
                <w:color w:val="000000"/>
                <w:sz w:val="24"/>
                <w:szCs w:val="24"/>
              </w:rPr>
              <w:t>Año:</w:t>
            </w:r>
            <w:r w:rsidRPr="00D5409D">
              <w:rPr>
                <w:rFonts w:eastAsia="Times New Roman" w:cs="Calibri"/>
                <w:b w:val="0"/>
                <w:color w:val="000000"/>
                <w:sz w:val="24"/>
                <w:szCs w:val="24"/>
              </w:rPr>
              <w:t xml:space="preserve"> 2019</w:t>
            </w:r>
          </w:p>
        </w:tc>
      </w:tr>
      <w:tr w:rsidR="00D5409D" w:rsidRPr="00D5409D" w:rsidTr="003E7B3E">
        <w:trPr>
          <w:trHeight w:val="315"/>
          <w:jc w:val="center"/>
        </w:trPr>
        <w:tc>
          <w:tcPr>
            <w:tcW w:w="4810" w:type="dxa"/>
            <w:vMerge/>
            <w:tcBorders>
              <w:top w:val="nil"/>
              <w:left w:val="single" w:sz="8" w:space="0" w:color="auto"/>
              <w:bottom w:val="single" w:sz="8" w:space="0" w:color="000000"/>
              <w:right w:val="single" w:sz="8" w:space="0" w:color="auto"/>
            </w:tcBorders>
            <w:vAlign w:val="center"/>
            <w:hideMark/>
          </w:tcPr>
          <w:p w:rsidR="00D5409D" w:rsidRPr="00D5409D" w:rsidRDefault="00D5409D" w:rsidP="00D5409D">
            <w:pPr>
              <w:spacing w:after="0" w:line="360" w:lineRule="auto"/>
              <w:jc w:val="left"/>
              <w:rPr>
                <w:rFonts w:eastAsia="Times New Roman" w:cs="Calibri"/>
                <w:b w:val="0"/>
                <w:color w:val="000000"/>
                <w:sz w:val="24"/>
                <w:szCs w:val="24"/>
              </w:rPr>
            </w:pPr>
          </w:p>
        </w:tc>
        <w:tc>
          <w:tcPr>
            <w:tcW w:w="4111" w:type="dxa"/>
            <w:tcBorders>
              <w:top w:val="nil"/>
              <w:left w:val="nil"/>
              <w:bottom w:val="single" w:sz="8" w:space="0" w:color="auto"/>
              <w:right w:val="single" w:sz="8" w:space="0" w:color="auto"/>
            </w:tcBorders>
            <w:shd w:val="clear" w:color="auto" w:fill="auto"/>
            <w:vAlign w:val="center"/>
            <w:hideMark/>
          </w:tcPr>
          <w:p w:rsidR="00D5409D" w:rsidRPr="00D5409D" w:rsidRDefault="00D5409D" w:rsidP="00D5409D">
            <w:pPr>
              <w:spacing w:after="0" w:line="360" w:lineRule="auto"/>
              <w:rPr>
                <w:rFonts w:eastAsia="Times New Roman" w:cs="Calibri"/>
                <w:b w:val="0"/>
                <w:color w:val="000000"/>
                <w:sz w:val="24"/>
                <w:szCs w:val="24"/>
              </w:rPr>
            </w:pPr>
            <w:r w:rsidRPr="00D5409D">
              <w:rPr>
                <w:rFonts w:eastAsia="Times New Roman" w:cs="Calibri"/>
                <w:bCs/>
                <w:color w:val="000000"/>
                <w:sz w:val="24"/>
                <w:szCs w:val="24"/>
              </w:rPr>
              <w:t>Valor:</w:t>
            </w:r>
            <w:r w:rsidRPr="00D5409D">
              <w:rPr>
                <w:rFonts w:eastAsia="Times New Roman" w:cs="Calibri"/>
                <w:b w:val="0"/>
                <w:color w:val="000000"/>
                <w:sz w:val="24"/>
                <w:szCs w:val="24"/>
              </w:rPr>
              <w:t xml:space="preserve"> 0</w:t>
            </w:r>
          </w:p>
        </w:tc>
      </w:tr>
      <w:tr w:rsidR="00D5409D" w:rsidRPr="00D5409D" w:rsidTr="003E7B3E">
        <w:trPr>
          <w:trHeight w:val="765"/>
          <w:jc w:val="center"/>
        </w:trPr>
        <w:tc>
          <w:tcPr>
            <w:tcW w:w="4810" w:type="dxa"/>
            <w:tcBorders>
              <w:top w:val="nil"/>
              <w:left w:val="single" w:sz="8" w:space="0" w:color="auto"/>
              <w:bottom w:val="nil"/>
              <w:right w:val="single" w:sz="8" w:space="0" w:color="auto"/>
            </w:tcBorders>
            <w:shd w:val="clear" w:color="auto" w:fill="auto"/>
            <w:vAlign w:val="center"/>
            <w:hideMark/>
          </w:tcPr>
          <w:p w:rsidR="00D5409D" w:rsidRPr="00D5409D" w:rsidRDefault="00D5409D" w:rsidP="00D5409D">
            <w:pPr>
              <w:spacing w:after="0" w:line="360" w:lineRule="auto"/>
              <w:rPr>
                <w:rFonts w:eastAsia="Times New Roman" w:cs="Calibri"/>
                <w:b w:val="0"/>
                <w:color w:val="000000"/>
                <w:sz w:val="24"/>
                <w:szCs w:val="24"/>
              </w:rPr>
            </w:pPr>
            <w:r w:rsidRPr="00D5409D">
              <w:rPr>
                <w:rFonts w:eastAsia="Times New Roman" w:cs="Calibri"/>
                <w:bCs/>
                <w:color w:val="000000"/>
                <w:sz w:val="24"/>
                <w:szCs w:val="24"/>
              </w:rPr>
              <w:t>Eje Estratégico:</w:t>
            </w:r>
            <w:r w:rsidRPr="00D5409D">
              <w:rPr>
                <w:rFonts w:eastAsia="Times New Roman" w:cs="Calibri"/>
                <w:b w:val="0"/>
                <w:color w:val="000000"/>
                <w:sz w:val="24"/>
                <w:szCs w:val="24"/>
              </w:rPr>
              <w:t xml:space="preserve"> No. 1: Políticas, Estudios y Regulación.</w:t>
            </w:r>
          </w:p>
        </w:tc>
        <w:tc>
          <w:tcPr>
            <w:tcW w:w="4111" w:type="dxa"/>
            <w:tcBorders>
              <w:top w:val="nil"/>
              <w:left w:val="nil"/>
              <w:bottom w:val="nil"/>
              <w:right w:val="single" w:sz="8" w:space="0" w:color="auto"/>
            </w:tcBorders>
            <w:shd w:val="clear" w:color="auto" w:fill="auto"/>
            <w:vAlign w:val="center"/>
            <w:hideMark/>
          </w:tcPr>
          <w:p w:rsidR="00D5409D" w:rsidRPr="00D5409D" w:rsidRDefault="00D5409D" w:rsidP="00D5409D">
            <w:pPr>
              <w:spacing w:after="0" w:line="360" w:lineRule="auto"/>
              <w:rPr>
                <w:rFonts w:eastAsia="Times New Roman" w:cs="Calibri"/>
                <w:b w:val="0"/>
                <w:color w:val="000000"/>
                <w:sz w:val="24"/>
                <w:szCs w:val="24"/>
              </w:rPr>
            </w:pPr>
            <w:r w:rsidRPr="00D5409D">
              <w:rPr>
                <w:rFonts w:eastAsia="Times New Roman" w:cs="Calibri"/>
                <w:b w:val="0"/>
                <w:color w:val="000000"/>
                <w:sz w:val="24"/>
                <w:szCs w:val="24"/>
              </w:rPr>
              <w:t>Meta</w:t>
            </w:r>
          </w:p>
        </w:tc>
      </w:tr>
      <w:tr w:rsidR="00D5409D" w:rsidRPr="00D5409D" w:rsidTr="003E7B3E">
        <w:trPr>
          <w:trHeight w:val="300"/>
          <w:jc w:val="center"/>
        </w:trPr>
        <w:tc>
          <w:tcPr>
            <w:tcW w:w="4810" w:type="dxa"/>
            <w:tcBorders>
              <w:top w:val="nil"/>
              <w:left w:val="single" w:sz="8" w:space="0" w:color="auto"/>
              <w:bottom w:val="nil"/>
              <w:right w:val="single" w:sz="8" w:space="0" w:color="auto"/>
            </w:tcBorders>
            <w:shd w:val="clear" w:color="auto" w:fill="auto"/>
            <w:vAlign w:val="center"/>
            <w:hideMark/>
          </w:tcPr>
          <w:p w:rsidR="00D5409D" w:rsidRPr="00D5409D" w:rsidRDefault="00D5409D" w:rsidP="00D5409D">
            <w:pPr>
              <w:spacing w:after="0" w:line="360" w:lineRule="auto"/>
              <w:rPr>
                <w:rFonts w:eastAsia="Times New Roman" w:cs="Calibri"/>
                <w:b w:val="0"/>
                <w:color w:val="000000"/>
                <w:sz w:val="24"/>
                <w:szCs w:val="24"/>
              </w:rPr>
            </w:pPr>
            <w:r w:rsidRPr="00D5409D">
              <w:rPr>
                <w:rFonts w:eastAsia="Times New Roman" w:cs="Calibri"/>
                <w:b w:val="0"/>
                <w:color w:val="000000"/>
                <w:sz w:val="24"/>
                <w:szCs w:val="24"/>
              </w:rPr>
              <w:t> </w:t>
            </w:r>
          </w:p>
        </w:tc>
        <w:tc>
          <w:tcPr>
            <w:tcW w:w="4111" w:type="dxa"/>
            <w:tcBorders>
              <w:top w:val="nil"/>
              <w:left w:val="nil"/>
              <w:bottom w:val="nil"/>
              <w:right w:val="single" w:sz="8" w:space="0" w:color="auto"/>
            </w:tcBorders>
            <w:shd w:val="clear" w:color="auto" w:fill="auto"/>
            <w:vAlign w:val="center"/>
            <w:hideMark/>
          </w:tcPr>
          <w:p w:rsidR="00D5409D" w:rsidRPr="00D5409D" w:rsidRDefault="00D5409D" w:rsidP="00D5409D">
            <w:pPr>
              <w:spacing w:after="0" w:line="360" w:lineRule="auto"/>
              <w:rPr>
                <w:rFonts w:eastAsia="Times New Roman" w:cs="Calibri"/>
                <w:b w:val="0"/>
                <w:color w:val="000000"/>
                <w:sz w:val="24"/>
                <w:szCs w:val="24"/>
              </w:rPr>
            </w:pPr>
            <w:r w:rsidRPr="00D5409D">
              <w:rPr>
                <w:rFonts w:eastAsia="Times New Roman" w:cs="Calibri"/>
                <w:b w:val="0"/>
                <w:color w:val="000000"/>
                <w:sz w:val="24"/>
                <w:szCs w:val="24"/>
              </w:rPr>
              <w:t>Año: 2024</w:t>
            </w:r>
          </w:p>
        </w:tc>
      </w:tr>
      <w:tr w:rsidR="00D5409D" w:rsidRPr="00D5409D" w:rsidTr="003E7B3E">
        <w:trPr>
          <w:trHeight w:val="1035"/>
          <w:jc w:val="center"/>
        </w:trPr>
        <w:tc>
          <w:tcPr>
            <w:tcW w:w="4810" w:type="dxa"/>
            <w:tcBorders>
              <w:top w:val="nil"/>
              <w:left w:val="single" w:sz="8" w:space="0" w:color="auto"/>
              <w:bottom w:val="single" w:sz="8" w:space="0" w:color="auto"/>
              <w:right w:val="single" w:sz="8" w:space="0" w:color="auto"/>
            </w:tcBorders>
            <w:shd w:val="clear" w:color="auto" w:fill="auto"/>
            <w:vAlign w:val="center"/>
            <w:hideMark/>
          </w:tcPr>
          <w:p w:rsidR="00D5409D" w:rsidRPr="00D5409D" w:rsidRDefault="00D5409D" w:rsidP="00D5409D">
            <w:pPr>
              <w:spacing w:after="0" w:line="360" w:lineRule="auto"/>
              <w:rPr>
                <w:rFonts w:eastAsia="Times New Roman" w:cs="Calibri"/>
                <w:b w:val="0"/>
                <w:color w:val="000000"/>
                <w:sz w:val="24"/>
                <w:szCs w:val="24"/>
              </w:rPr>
            </w:pPr>
            <w:r w:rsidRPr="00D5409D">
              <w:rPr>
                <w:rFonts w:eastAsia="Times New Roman" w:cs="Calibri"/>
                <w:bCs/>
                <w:color w:val="000000"/>
                <w:sz w:val="24"/>
                <w:szCs w:val="24"/>
              </w:rPr>
              <w:t>Objetivo Estratégico:</w:t>
            </w:r>
            <w:r w:rsidRPr="00D5409D">
              <w:rPr>
                <w:rFonts w:eastAsia="Times New Roman" w:cs="Calibri"/>
                <w:b w:val="0"/>
                <w:color w:val="000000"/>
                <w:sz w:val="24"/>
                <w:szCs w:val="24"/>
              </w:rPr>
              <w:t xml:space="preserve"> OE1. Fortalecida la regulación y vigilancia de la política azucarera a nivel nacional.</w:t>
            </w:r>
          </w:p>
        </w:tc>
        <w:tc>
          <w:tcPr>
            <w:tcW w:w="4111" w:type="dxa"/>
            <w:tcBorders>
              <w:top w:val="nil"/>
              <w:left w:val="nil"/>
              <w:bottom w:val="single" w:sz="8" w:space="0" w:color="auto"/>
              <w:right w:val="single" w:sz="8" w:space="0" w:color="auto"/>
            </w:tcBorders>
            <w:shd w:val="clear" w:color="auto" w:fill="auto"/>
            <w:vAlign w:val="center"/>
            <w:hideMark/>
          </w:tcPr>
          <w:p w:rsidR="00D5409D" w:rsidRPr="00D5409D" w:rsidRDefault="00D5409D" w:rsidP="00D5409D">
            <w:pPr>
              <w:spacing w:after="0" w:line="360" w:lineRule="auto"/>
              <w:rPr>
                <w:rFonts w:eastAsia="Times New Roman" w:cs="Calibri"/>
                <w:b w:val="0"/>
                <w:color w:val="000000"/>
                <w:sz w:val="24"/>
                <w:szCs w:val="24"/>
              </w:rPr>
            </w:pPr>
            <w:r w:rsidRPr="00D5409D">
              <w:rPr>
                <w:rFonts w:eastAsia="Times New Roman" w:cs="Calibri"/>
                <w:b w:val="0"/>
                <w:color w:val="000000"/>
                <w:sz w:val="24"/>
                <w:szCs w:val="24"/>
              </w:rPr>
              <w:t>Valor: 4</w:t>
            </w:r>
          </w:p>
        </w:tc>
      </w:tr>
      <w:tr w:rsidR="00D5409D" w:rsidRPr="00D5409D" w:rsidTr="003E7B3E">
        <w:trPr>
          <w:trHeight w:val="795"/>
          <w:jc w:val="center"/>
        </w:trPr>
        <w:tc>
          <w:tcPr>
            <w:tcW w:w="892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5409D" w:rsidRPr="00D5409D" w:rsidRDefault="00D5409D" w:rsidP="00D5409D">
            <w:pPr>
              <w:spacing w:after="0" w:line="360" w:lineRule="auto"/>
              <w:rPr>
                <w:rFonts w:eastAsia="Times New Roman" w:cs="Calibri"/>
                <w:b w:val="0"/>
                <w:color w:val="000000"/>
                <w:sz w:val="24"/>
                <w:szCs w:val="24"/>
              </w:rPr>
            </w:pPr>
            <w:r w:rsidRPr="00D5409D">
              <w:rPr>
                <w:rFonts w:eastAsia="Times New Roman" w:cs="Calibri"/>
                <w:bCs/>
                <w:color w:val="000000"/>
                <w:sz w:val="24"/>
                <w:szCs w:val="24"/>
              </w:rPr>
              <w:t>Descripción del Indicador:</w:t>
            </w:r>
            <w:r w:rsidRPr="00D5409D">
              <w:rPr>
                <w:rFonts w:eastAsia="Times New Roman" w:cs="Calibri"/>
                <w:b w:val="0"/>
                <w:color w:val="000000"/>
                <w:sz w:val="24"/>
                <w:szCs w:val="24"/>
              </w:rPr>
              <w:t xml:space="preserve"> Niveles de equilibrio entre rentabilidad y acceso en el marco de la producción y consumo del azúcar, por medio de la revisión de precios del azúcar, conforme a la Ley No. 619, al año 2024.</w:t>
            </w:r>
          </w:p>
        </w:tc>
      </w:tr>
      <w:tr w:rsidR="00D5409D" w:rsidRPr="00D5409D" w:rsidTr="003E7B3E">
        <w:trPr>
          <w:trHeight w:val="315"/>
          <w:jc w:val="center"/>
        </w:trPr>
        <w:tc>
          <w:tcPr>
            <w:tcW w:w="892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5409D" w:rsidRPr="00D5409D" w:rsidRDefault="00D5409D" w:rsidP="00D5409D">
            <w:pPr>
              <w:spacing w:after="0" w:line="360" w:lineRule="auto"/>
              <w:jc w:val="center"/>
              <w:rPr>
                <w:rFonts w:eastAsia="Times New Roman" w:cs="Calibri"/>
                <w:bCs/>
                <w:color w:val="000000"/>
                <w:sz w:val="24"/>
                <w:szCs w:val="24"/>
              </w:rPr>
            </w:pPr>
            <w:r w:rsidRPr="00D5409D">
              <w:rPr>
                <w:rFonts w:eastAsia="Times New Roman" w:cs="Calibri"/>
                <w:bCs/>
                <w:color w:val="000000"/>
                <w:sz w:val="24"/>
                <w:szCs w:val="24"/>
              </w:rPr>
              <w:t>Característica del Indicador</w:t>
            </w:r>
          </w:p>
        </w:tc>
      </w:tr>
      <w:tr w:rsidR="00D5409D" w:rsidRPr="00D5409D" w:rsidTr="003E7B3E">
        <w:trPr>
          <w:trHeight w:val="315"/>
          <w:jc w:val="center"/>
        </w:trPr>
        <w:tc>
          <w:tcPr>
            <w:tcW w:w="892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5409D" w:rsidRPr="00D5409D" w:rsidRDefault="00D5409D" w:rsidP="00D5409D">
            <w:pPr>
              <w:spacing w:after="0" w:line="360" w:lineRule="auto"/>
              <w:rPr>
                <w:rFonts w:eastAsia="Times New Roman" w:cs="Calibri"/>
                <w:b w:val="0"/>
                <w:color w:val="000000"/>
                <w:sz w:val="24"/>
                <w:szCs w:val="24"/>
              </w:rPr>
            </w:pPr>
            <w:r w:rsidRPr="00D5409D">
              <w:rPr>
                <w:rFonts w:eastAsia="Times New Roman" w:cs="Calibri"/>
                <w:bCs/>
                <w:color w:val="000000"/>
                <w:sz w:val="24"/>
                <w:szCs w:val="24"/>
              </w:rPr>
              <w:t>Clasificación:</w:t>
            </w:r>
            <w:r w:rsidRPr="00D5409D">
              <w:rPr>
                <w:rFonts w:eastAsia="Times New Roman" w:cs="Calibri"/>
                <w:b w:val="0"/>
                <w:color w:val="000000"/>
                <w:sz w:val="24"/>
                <w:szCs w:val="24"/>
              </w:rPr>
              <w:t xml:space="preserve"> Impacto</w:t>
            </w:r>
          </w:p>
        </w:tc>
      </w:tr>
      <w:tr w:rsidR="00D5409D" w:rsidRPr="00D5409D" w:rsidTr="003E7B3E">
        <w:trPr>
          <w:trHeight w:val="525"/>
          <w:jc w:val="center"/>
        </w:trPr>
        <w:tc>
          <w:tcPr>
            <w:tcW w:w="4810" w:type="dxa"/>
            <w:tcBorders>
              <w:top w:val="nil"/>
              <w:left w:val="single" w:sz="8" w:space="0" w:color="auto"/>
              <w:bottom w:val="single" w:sz="8" w:space="0" w:color="auto"/>
              <w:right w:val="single" w:sz="8" w:space="0" w:color="auto"/>
            </w:tcBorders>
            <w:shd w:val="clear" w:color="auto" w:fill="auto"/>
            <w:vAlign w:val="center"/>
            <w:hideMark/>
          </w:tcPr>
          <w:p w:rsidR="00D5409D" w:rsidRPr="00D5409D" w:rsidRDefault="00D5409D" w:rsidP="00D5409D">
            <w:pPr>
              <w:spacing w:after="0" w:line="360" w:lineRule="auto"/>
              <w:rPr>
                <w:rFonts w:eastAsia="Times New Roman" w:cs="Calibri"/>
                <w:b w:val="0"/>
                <w:color w:val="000000"/>
                <w:sz w:val="24"/>
                <w:szCs w:val="24"/>
              </w:rPr>
            </w:pPr>
            <w:r w:rsidRPr="00D5409D">
              <w:rPr>
                <w:rFonts w:eastAsia="Times New Roman" w:cs="Calibri"/>
                <w:bCs/>
                <w:color w:val="000000"/>
                <w:sz w:val="24"/>
                <w:szCs w:val="24"/>
              </w:rPr>
              <w:t>Frecuencia de medición:</w:t>
            </w:r>
            <w:r w:rsidRPr="00D5409D">
              <w:rPr>
                <w:rFonts w:eastAsia="Times New Roman" w:cs="Calibri"/>
                <w:b w:val="0"/>
                <w:color w:val="000000"/>
                <w:sz w:val="24"/>
                <w:szCs w:val="24"/>
              </w:rPr>
              <w:t xml:space="preserve"> Anual</w:t>
            </w:r>
          </w:p>
        </w:tc>
        <w:tc>
          <w:tcPr>
            <w:tcW w:w="4111" w:type="dxa"/>
            <w:tcBorders>
              <w:top w:val="nil"/>
              <w:left w:val="nil"/>
              <w:bottom w:val="single" w:sz="8" w:space="0" w:color="auto"/>
              <w:right w:val="single" w:sz="8" w:space="0" w:color="auto"/>
            </w:tcBorders>
            <w:shd w:val="clear" w:color="auto" w:fill="auto"/>
            <w:vAlign w:val="center"/>
            <w:hideMark/>
          </w:tcPr>
          <w:p w:rsidR="00D5409D" w:rsidRPr="00D5409D" w:rsidRDefault="00D5409D" w:rsidP="00D5409D">
            <w:pPr>
              <w:spacing w:after="0" w:line="360" w:lineRule="auto"/>
              <w:rPr>
                <w:rFonts w:eastAsia="Times New Roman" w:cs="Calibri"/>
                <w:b w:val="0"/>
                <w:color w:val="000000"/>
                <w:sz w:val="24"/>
                <w:szCs w:val="24"/>
              </w:rPr>
            </w:pPr>
            <w:r w:rsidRPr="00D5409D">
              <w:rPr>
                <w:rFonts w:eastAsia="Times New Roman" w:cs="Calibri"/>
                <w:bCs/>
                <w:color w:val="000000"/>
                <w:sz w:val="24"/>
                <w:szCs w:val="24"/>
              </w:rPr>
              <w:t>Unidad de Medida:</w:t>
            </w:r>
            <w:r w:rsidRPr="00D5409D">
              <w:rPr>
                <w:rFonts w:eastAsia="Times New Roman" w:cs="Calibri"/>
                <w:b w:val="0"/>
                <w:color w:val="000000"/>
                <w:sz w:val="24"/>
                <w:szCs w:val="24"/>
              </w:rPr>
              <w:t xml:space="preserve"> Porcentaje</w:t>
            </w:r>
          </w:p>
        </w:tc>
      </w:tr>
      <w:tr w:rsidR="00D5409D" w:rsidRPr="00D5409D" w:rsidTr="003E7B3E">
        <w:trPr>
          <w:trHeight w:val="315"/>
          <w:jc w:val="center"/>
        </w:trPr>
        <w:tc>
          <w:tcPr>
            <w:tcW w:w="892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5409D" w:rsidRPr="00D5409D" w:rsidRDefault="00D5409D" w:rsidP="00D5409D">
            <w:pPr>
              <w:spacing w:after="0" w:line="360" w:lineRule="auto"/>
              <w:jc w:val="center"/>
              <w:rPr>
                <w:rFonts w:eastAsia="Times New Roman" w:cs="Calibri"/>
                <w:bCs/>
                <w:color w:val="000000"/>
                <w:sz w:val="24"/>
                <w:szCs w:val="24"/>
              </w:rPr>
            </w:pPr>
            <w:r w:rsidRPr="00D5409D">
              <w:rPr>
                <w:rFonts w:eastAsia="Times New Roman" w:cs="Calibri"/>
                <w:bCs/>
                <w:color w:val="000000"/>
                <w:sz w:val="24"/>
                <w:szCs w:val="24"/>
              </w:rPr>
              <w:t>Calculo y especificación de datos</w:t>
            </w:r>
          </w:p>
        </w:tc>
      </w:tr>
      <w:tr w:rsidR="00D5409D" w:rsidRPr="00D5409D" w:rsidTr="003E7B3E">
        <w:trPr>
          <w:trHeight w:val="315"/>
          <w:jc w:val="center"/>
        </w:trPr>
        <w:tc>
          <w:tcPr>
            <w:tcW w:w="892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5409D" w:rsidRPr="00D5409D" w:rsidRDefault="00D5409D" w:rsidP="00D5409D">
            <w:pPr>
              <w:spacing w:after="0" w:line="360" w:lineRule="auto"/>
              <w:rPr>
                <w:rFonts w:eastAsia="Times New Roman" w:cs="Calibri"/>
                <w:b w:val="0"/>
                <w:color w:val="000000"/>
                <w:sz w:val="24"/>
                <w:szCs w:val="24"/>
              </w:rPr>
            </w:pPr>
            <w:r w:rsidRPr="00D5409D">
              <w:rPr>
                <w:rFonts w:eastAsia="Times New Roman" w:cs="Calibri"/>
                <w:bCs/>
                <w:color w:val="000000"/>
                <w:sz w:val="24"/>
                <w:szCs w:val="24"/>
              </w:rPr>
              <w:t>Fórmula de cálculo:</w:t>
            </w:r>
            <w:r w:rsidRPr="00D5409D">
              <w:rPr>
                <w:rFonts w:eastAsia="Times New Roman" w:cs="Calibri"/>
                <w:b w:val="0"/>
                <w:color w:val="000000"/>
                <w:sz w:val="24"/>
                <w:szCs w:val="24"/>
              </w:rPr>
              <w:t xml:space="preserve"> ERA= PA/PP</w:t>
            </w:r>
          </w:p>
        </w:tc>
      </w:tr>
      <w:tr w:rsidR="00D5409D" w:rsidRPr="00D5409D" w:rsidTr="003E7B3E">
        <w:trPr>
          <w:trHeight w:val="315"/>
          <w:jc w:val="center"/>
        </w:trPr>
        <w:tc>
          <w:tcPr>
            <w:tcW w:w="892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5409D" w:rsidRPr="00D5409D" w:rsidRDefault="00D5409D" w:rsidP="00D5409D">
            <w:pPr>
              <w:spacing w:after="0" w:line="360" w:lineRule="auto"/>
              <w:rPr>
                <w:rFonts w:eastAsia="Times New Roman" w:cs="Calibri"/>
                <w:b w:val="0"/>
                <w:color w:val="000000"/>
                <w:sz w:val="24"/>
                <w:szCs w:val="24"/>
              </w:rPr>
            </w:pPr>
            <w:r w:rsidRPr="00D5409D">
              <w:rPr>
                <w:rFonts w:eastAsia="Times New Roman" w:cs="Calibri"/>
                <w:bCs/>
                <w:color w:val="000000"/>
                <w:sz w:val="24"/>
                <w:szCs w:val="24"/>
              </w:rPr>
              <w:t>Desagregación demográfica y geográfica:</w:t>
            </w:r>
            <w:r w:rsidRPr="00D5409D">
              <w:rPr>
                <w:rFonts w:eastAsia="Times New Roman" w:cs="Calibri"/>
                <w:b w:val="0"/>
                <w:color w:val="000000"/>
                <w:sz w:val="24"/>
                <w:szCs w:val="24"/>
              </w:rPr>
              <w:t xml:space="preserve"> N/A</w:t>
            </w:r>
          </w:p>
        </w:tc>
      </w:tr>
      <w:tr w:rsidR="00D5409D" w:rsidRPr="00D5409D" w:rsidTr="003E7B3E">
        <w:trPr>
          <w:trHeight w:val="315"/>
          <w:jc w:val="center"/>
        </w:trPr>
        <w:tc>
          <w:tcPr>
            <w:tcW w:w="892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5409D" w:rsidRPr="00D5409D" w:rsidRDefault="00D5409D" w:rsidP="00D5409D">
            <w:pPr>
              <w:spacing w:after="0" w:line="360" w:lineRule="auto"/>
              <w:jc w:val="left"/>
              <w:rPr>
                <w:rFonts w:eastAsia="Times New Roman" w:cs="Calibri"/>
                <w:b w:val="0"/>
                <w:color w:val="000000"/>
                <w:sz w:val="24"/>
                <w:szCs w:val="24"/>
              </w:rPr>
            </w:pPr>
            <w:r w:rsidRPr="00D5409D">
              <w:rPr>
                <w:rFonts w:eastAsia="Times New Roman" w:cs="Calibri"/>
                <w:bCs/>
                <w:color w:val="000000"/>
                <w:sz w:val="24"/>
                <w:szCs w:val="24"/>
              </w:rPr>
              <w:t>Fuente del dato:</w:t>
            </w:r>
            <w:r>
              <w:rPr>
                <w:rFonts w:eastAsia="Times New Roman" w:cs="Calibri"/>
                <w:b w:val="0"/>
                <w:color w:val="000000"/>
                <w:sz w:val="24"/>
                <w:szCs w:val="24"/>
              </w:rPr>
              <w:t xml:space="preserve">Consultoría Jurídica del Poder Ejecutivo, </w:t>
            </w:r>
            <w:r w:rsidRPr="00D5409D">
              <w:rPr>
                <w:rFonts w:eastAsia="Times New Roman" w:cs="Calibri"/>
                <w:b w:val="0"/>
                <w:color w:val="000000"/>
                <w:sz w:val="24"/>
                <w:szCs w:val="24"/>
              </w:rPr>
              <w:t>Secretaría del Consejo de Directores del INAZUCAR</w:t>
            </w:r>
            <w:r>
              <w:rPr>
                <w:rFonts w:eastAsia="Times New Roman" w:cs="Calibri"/>
                <w:b w:val="0"/>
                <w:color w:val="000000"/>
                <w:sz w:val="24"/>
                <w:szCs w:val="24"/>
              </w:rPr>
              <w:t>, Observatorio Dominicano de la Caña</w:t>
            </w:r>
            <w:r w:rsidR="008C6D71">
              <w:rPr>
                <w:rFonts w:eastAsia="Times New Roman" w:cs="Calibri"/>
                <w:b w:val="0"/>
                <w:color w:val="000000"/>
                <w:sz w:val="24"/>
                <w:szCs w:val="24"/>
              </w:rPr>
              <w:t>, VUCERD</w:t>
            </w:r>
            <w:r>
              <w:rPr>
                <w:rFonts w:eastAsia="Times New Roman" w:cs="Calibri"/>
                <w:b w:val="0"/>
                <w:color w:val="000000"/>
                <w:sz w:val="24"/>
                <w:szCs w:val="24"/>
              </w:rPr>
              <w:t>.</w:t>
            </w:r>
          </w:p>
        </w:tc>
      </w:tr>
      <w:tr w:rsidR="00D5409D" w:rsidRPr="00D5409D" w:rsidTr="003E7B3E">
        <w:trPr>
          <w:trHeight w:val="315"/>
          <w:jc w:val="center"/>
        </w:trPr>
        <w:tc>
          <w:tcPr>
            <w:tcW w:w="892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5409D" w:rsidRPr="00D5409D" w:rsidRDefault="00D5409D" w:rsidP="00D5409D">
            <w:pPr>
              <w:spacing w:after="0" w:line="360" w:lineRule="auto"/>
              <w:rPr>
                <w:rFonts w:eastAsia="Times New Roman" w:cs="Calibri"/>
                <w:b w:val="0"/>
                <w:color w:val="000000"/>
                <w:sz w:val="24"/>
                <w:szCs w:val="24"/>
              </w:rPr>
            </w:pPr>
            <w:r w:rsidRPr="00D5409D">
              <w:rPr>
                <w:rFonts w:eastAsia="Times New Roman" w:cs="Calibri"/>
                <w:b w:val="0"/>
                <w:color w:val="000000"/>
                <w:sz w:val="24"/>
                <w:szCs w:val="24"/>
              </w:rPr>
              <w:t>Observaciones: Lectura de la Fórmula de cálculo: ERA: Equilibrio Rentabilidad Acceso; PA: Precio Autorizado; PP: Precio de Producción. El valor deseado no debe exceder el 2% al aplicar la fórmula de cálculo anteriormente desarrollada.</w:t>
            </w:r>
          </w:p>
        </w:tc>
      </w:tr>
    </w:tbl>
    <w:p w:rsidR="00D5409D" w:rsidRDefault="00D5409D" w:rsidP="007B0D80"/>
    <w:p w:rsidR="00D10B4E" w:rsidRDefault="00D10B4E" w:rsidP="007B0D80"/>
    <w:p w:rsidR="00D10B4E" w:rsidRDefault="00D10B4E" w:rsidP="007B0D80"/>
    <w:p w:rsidR="00D10B4E" w:rsidRDefault="00D10B4E" w:rsidP="007B0D80"/>
    <w:tbl>
      <w:tblPr>
        <w:tblW w:w="8779" w:type="dxa"/>
        <w:jc w:val="center"/>
        <w:tblLook w:val="04A0"/>
      </w:tblPr>
      <w:tblGrid>
        <w:gridCol w:w="4668"/>
        <w:gridCol w:w="4111"/>
      </w:tblGrid>
      <w:tr w:rsidR="00D10B4E" w:rsidRPr="00D10B4E" w:rsidTr="003E7B3E">
        <w:trPr>
          <w:trHeight w:val="315"/>
          <w:jc w:val="center"/>
        </w:trPr>
        <w:tc>
          <w:tcPr>
            <w:tcW w:w="87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10B4E" w:rsidRPr="00D10B4E" w:rsidRDefault="00D10B4E" w:rsidP="00D10B4E">
            <w:pPr>
              <w:spacing w:after="0" w:line="360" w:lineRule="auto"/>
              <w:jc w:val="center"/>
              <w:rPr>
                <w:rFonts w:eastAsia="Times New Roman" w:cs="Calibri"/>
                <w:bCs/>
                <w:color w:val="000000"/>
                <w:sz w:val="24"/>
                <w:szCs w:val="24"/>
              </w:rPr>
            </w:pPr>
            <w:r w:rsidRPr="00D10B4E">
              <w:rPr>
                <w:rFonts w:eastAsia="Times New Roman" w:cs="Calibri"/>
                <w:bCs/>
                <w:color w:val="000000"/>
                <w:sz w:val="24"/>
                <w:szCs w:val="24"/>
              </w:rPr>
              <w:lastRenderedPageBreak/>
              <w:t>Tabla No. IX: Ficha del Indicador 2.1. Estandarización de Procesos.</w:t>
            </w:r>
          </w:p>
        </w:tc>
      </w:tr>
      <w:tr w:rsidR="00D10B4E" w:rsidRPr="00D10B4E" w:rsidTr="003E7B3E">
        <w:trPr>
          <w:trHeight w:val="315"/>
          <w:jc w:val="center"/>
        </w:trPr>
        <w:tc>
          <w:tcPr>
            <w:tcW w:w="87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10B4E" w:rsidRPr="00D10B4E" w:rsidRDefault="00D10B4E" w:rsidP="00D10B4E">
            <w:pPr>
              <w:spacing w:after="0" w:line="360" w:lineRule="auto"/>
              <w:jc w:val="center"/>
              <w:rPr>
                <w:rFonts w:eastAsia="Times New Roman" w:cs="Calibri"/>
                <w:bCs/>
                <w:color w:val="000000"/>
                <w:sz w:val="24"/>
                <w:szCs w:val="24"/>
              </w:rPr>
            </w:pPr>
            <w:r w:rsidRPr="00D10B4E">
              <w:rPr>
                <w:rFonts w:eastAsia="Times New Roman" w:cs="Calibri"/>
                <w:bCs/>
                <w:color w:val="000000"/>
                <w:sz w:val="24"/>
                <w:szCs w:val="24"/>
              </w:rPr>
              <w:t>Información General del Indicador:</w:t>
            </w:r>
          </w:p>
        </w:tc>
      </w:tr>
      <w:tr w:rsidR="00D10B4E" w:rsidRPr="00D10B4E" w:rsidTr="003E7B3E">
        <w:trPr>
          <w:trHeight w:val="300"/>
          <w:jc w:val="center"/>
        </w:trPr>
        <w:tc>
          <w:tcPr>
            <w:tcW w:w="4668" w:type="dxa"/>
            <w:vMerge w:val="restart"/>
            <w:tcBorders>
              <w:top w:val="nil"/>
              <w:left w:val="single" w:sz="8" w:space="0" w:color="auto"/>
              <w:bottom w:val="single" w:sz="8" w:space="0" w:color="000000"/>
              <w:right w:val="single" w:sz="8" w:space="0" w:color="auto"/>
            </w:tcBorders>
            <w:shd w:val="clear" w:color="auto" w:fill="auto"/>
            <w:vAlign w:val="center"/>
            <w:hideMark/>
          </w:tcPr>
          <w:p w:rsidR="00D10B4E" w:rsidRPr="00D10B4E" w:rsidRDefault="00D10B4E" w:rsidP="00D10B4E">
            <w:pPr>
              <w:spacing w:after="0" w:line="360" w:lineRule="auto"/>
              <w:rPr>
                <w:rFonts w:eastAsia="Times New Roman" w:cs="Calibri"/>
                <w:b w:val="0"/>
                <w:color w:val="000000"/>
                <w:sz w:val="24"/>
                <w:szCs w:val="24"/>
              </w:rPr>
            </w:pPr>
            <w:r w:rsidRPr="00D10B4E">
              <w:rPr>
                <w:rFonts w:eastAsia="Times New Roman" w:cs="Calibri"/>
                <w:bCs/>
                <w:color w:val="000000"/>
                <w:sz w:val="24"/>
                <w:szCs w:val="24"/>
              </w:rPr>
              <w:t>Nombre del indicador:</w:t>
            </w:r>
            <w:r w:rsidRPr="00D10B4E">
              <w:rPr>
                <w:rFonts w:eastAsia="Times New Roman" w:cs="Calibri"/>
                <w:b w:val="0"/>
                <w:color w:val="000000"/>
                <w:sz w:val="24"/>
                <w:szCs w:val="24"/>
              </w:rPr>
              <w:t xml:space="preserve"> 2.1. Estandarización de Procesos.</w:t>
            </w:r>
          </w:p>
        </w:tc>
        <w:tc>
          <w:tcPr>
            <w:tcW w:w="4111" w:type="dxa"/>
            <w:tcBorders>
              <w:top w:val="nil"/>
              <w:left w:val="nil"/>
              <w:bottom w:val="nil"/>
              <w:right w:val="single" w:sz="8" w:space="0" w:color="auto"/>
            </w:tcBorders>
            <w:shd w:val="clear" w:color="auto" w:fill="auto"/>
            <w:vAlign w:val="center"/>
            <w:hideMark/>
          </w:tcPr>
          <w:p w:rsidR="00D10B4E" w:rsidRPr="00D10B4E" w:rsidRDefault="00D10B4E" w:rsidP="00D10B4E">
            <w:pPr>
              <w:spacing w:after="0" w:line="360" w:lineRule="auto"/>
              <w:rPr>
                <w:rFonts w:eastAsia="Times New Roman" w:cs="Calibri"/>
                <w:bCs/>
                <w:color w:val="000000"/>
                <w:sz w:val="24"/>
                <w:szCs w:val="24"/>
              </w:rPr>
            </w:pPr>
            <w:r w:rsidRPr="00D10B4E">
              <w:rPr>
                <w:rFonts w:eastAsia="Times New Roman" w:cs="Calibri"/>
                <w:bCs/>
                <w:color w:val="000000"/>
                <w:sz w:val="24"/>
                <w:szCs w:val="24"/>
              </w:rPr>
              <w:t xml:space="preserve">Línea Base </w:t>
            </w:r>
          </w:p>
        </w:tc>
      </w:tr>
      <w:tr w:rsidR="00D10B4E" w:rsidRPr="00D10B4E" w:rsidTr="003E7B3E">
        <w:trPr>
          <w:trHeight w:val="300"/>
          <w:jc w:val="center"/>
        </w:trPr>
        <w:tc>
          <w:tcPr>
            <w:tcW w:w="4668" w:type="dxa"/>
            <w:vMerge/>
            <w:tcBorders>
              <w:top w:val="nil"/>
              <w:left w:val="single" w:sz="8" w:space="0" w:color="auto"/>
              <w:bottom w:val="single" w:sz="8" w:space="0" w:color="000000"/>
              <w:right w:val="single" w:sz="8" w:space="0" w:color="auto"/>
            </w:tcBorders>
            <w:vAlign w:val="center"/>
            <w:hideMark/>
          </w:tcPr>
          <w:p w:rsidR="00D10B4E" w:rsidRPr="00D10B4E" w:rsidRDefault="00D10B4E" w:rsidP="00D10B4E">
            <w:pPr>
              <w:spacing w:after="0" w:line="360" w:lineRule="auto"/>
              <w:jc w:val="left"/>
              <w:rPr>
                <w:rFonts w:eastAsia="Times New Roman" w:cs="Calibri"/>
                <w:b w:val="0"/>
                <w:color w:val="000000"/>
                <w:sz w:val="24"/>
                <w:szCs w:val="24"/>
              </w:rPr>
            </w:pPr>
          </w:p>
        </w:tc>
        <w:tc>
          <w:tcPr>
            <w:tcW w:w="4111" w:type="dxa"/>
            <w:tcBorders>
              <w:top w:val="nil"/>
              <w:left w:val="nil"/>
              <w:bottom w:val="nil"/>
              <w:right w:val="single" w:sz="8" w:space="0" w:color="auto"/>
            </w:tcBorders>
            <w:shd w:val="clear" w:color="auto" w:fill="auto"/>
            <w:vAlign w:val="center"/>
            <w:hideMark/>
          </w:tcPr>
          <w:p w:rsidR="00D10B4E" w:rsidRPr="00D10B4E" w:rsidRDefault="00D10B4E" w:rsidP="00D10B4E">
            <w:pPr>
              <w:spacing w:after="0" w:line="360" w:lineRule="auto"/>
              <w:rPr>
                <w:rFonts w:eastAsia="Times New Roman" w:cs="Calibri"/>
                <w:b w:val="0"/>
                <w:color w:val="000000"/>
                <w:sz w:val="24"/>
                <w:szCs w:val="24"/>
              </w:rPr>
            </w:pPr>
            <w:r w:rsidRPr="00D10B4E">
              <w:rPr>
                <w:rFonts w:eastAsia="Times New Roman" w:cs="Calibri"/>
                <w:bCs/>
                <w:color w:val="000000"/>
                <w:sz w:val="24"/>
                <w:szCs w:val="24"/>
              </w:rPr>
              <w:t>Año:</w:t>
            </w:r>
            <w:r w:rsidRPr="00D10B4E">
              <w:rPr>
                <w:rFonts w:eastAsia="Times New Roman" w:cs="Calibri"/>
                <w:b w:val="0"/>
                <w:color w:val="000000"/>
                <w:sz w:val="24"/>
                <w:szCs w:val="24"/>
              </w:rPr>
              <w:t xml:space="preserve"> 2020</w:t>
            </w:r>
          </w:p>
        </w:tc>
      </w:tr>
      <w:tr w:rsidR="00D10B4E" w:rsidRPr="00D10B4E" w:rsidTr="003E7B3E">
        <w:trPr>
          <w:trHeight w:val="315"/>
          <w:jc w:val="center"/>
        </w:trPr>
        <w:tc>
          <w:tcPr>
            <w:tcW w:w="4668" w:type="dxa"/>
            <w:vMerge/>
            <w:tcBorders>
              <w:top w:val="nil"/>
              <w:left w:val="single" w:sz="8" w:space="0" w:color="auto"/>
              <w:bottom w:val="single" w:sz="8" w:space="0" w:color="000000"/>
              <w:right w:val="single" w:sz="8" w:space="0" w:color="auto"/>
            </w:tcBorders>
            <w:vAlign w:val="center"/>
            <w:hideMark/>
          </w:tcPr>
          <w:p w:rsidR="00D10B4E" w:rsidRPr="00D10B4E" w:rsidRDefault="00D10B4E" w:rsidP="00D10B4E">
            <w:pPr>
              <w:spacing w:after="0" w:line="360" w:lineRule="auto"/>
              <w:jc w:val="left"/>
              <w:rPr>
                <w:rFonts w:eastAsia="Times New Roman" w:cs="Calibri"/>
                <w:b w:val="0"/>
                <w:color w:val="000000"/>
                <w:sz w:val="24"/>
                <w:szCs w:val="24"/>
              </w:rPr>
            </w:pPr>
          </w:p>
        </w:tc>
        <w:tc>
          <w:tcPr>
            <w:tcW w:w="4111" w:type="dxa"/>
            <w:tcBorders>
              <w:top w:val="nil"/>
              <w:left w:val="nil"/>
              <w:bottom w:val="single" w:sz="8" w:space="0" w:color="auto"/>
              <w:right w:val="single" w:sz="8" w:space="0" w:color="auto"/>
            </w:tcBorders>
            <w:shd w:val="clear" w:color="auto" w:fill="auto"/>
            <w:vAlign w:val="center"/>
            <w:hideMark/>
          </w:tcPr>
          <w:p w:rsidR="00D10B4E" w:rsidRPr="00D10B4E" w:rsidRDefault="00D10B4E" w:rsidP="00D10B4E">
            <w:pPr>
              <w:spacing w:after="0" w:line="360" w:lineRule="auto"/>
              <w:rPr>
                <w:rFonts w:eastAsia="Times New Roman" w:cs="Calibri"/>
                <w:b w:val="0"/>
                <w:color w:val="000000"/>
                <w:sz w:val="24"/>
                <w:szCs w:val="24"/>
              </w:rPr>
            </w:pPr>
            <w:r w:rsidRPr="00D10B4E">
              <w:rPr>
                <w:rFonts w:eastAsia="Times New Roman" w:cs="Calibri"/>
                <w:bCs/>
                <w:color w:val="000000"/>
                <w:sz w:val="24"/>
                <w:szCs w:val="24"/>
              </w:rPr>
              <w:t>Valor:</w:t>
            </w:r>
            <w:r w:rsidRPr="00D10B4E">
              <w:rPr>
                <w:rFonts w:eastAsia="Times New Roman" w:cs="Calibri"/>
                <w:b w:val="0"/>
                <w:color w:val="000000"/>
                <w:sz w:val="24"/>
                <w:szCs w:val="24"/>
              </w:rPr>
              <w:t xml:space="preserve"> 15%</w:t>
            </w:r>
          </w:p>
        </w:tc>
      </w:tr>
      <w:tr w:rsidR="00D10B4E" w:rsidRPr="00D10B4E" w:rsidTr="003E7B3E">
        <w:trPr>
          <w:trHeight w:val="765"/>
          <w:jc w:val="center"/>
        </w:trPr>
        <w:tc>
          <w:tcPr>
            <w:tcW w:w="4668" w:type="dxa"/>
            <w:tcBorders>
              <w:top w:val="nil"/>
              <w:left w:val="single" w:sz="8" w:space="0" w:color="auto"/>
              <w:bottom w:val="nil"/>
              <w:right w:val="single" w:sz="8" w:space="0" w:color="auto"/>
            </w:tcBorders>
            <w:shd w:val="clear" w:color="auto" w:fill="auto"/>
            <w:vAlign w:val="center"/>
            <w:hideMark/>
          </w:tcPr>
          <w:p w:rsidR="00D10B4E" w:rsidRPr="00D10B4E" w:rsidRDefault="00D10B4E" w:rsidP="00D10B4E">
            <w:pPr>
              <w:spacing w:after="0" w:line="360" w:lineRule="auto"/>
              <w:rPr>
                <w:rFonts w:eastAsia="Times New Roman" w:cs="Calibri"/>
                <w:b w:val="0"/>
                <w:color w:val="000000"/>
                <w:sz w:val="24"/>
                <w:szCs w:val="24"/>
              </w:rPr>
            </w:pPr>
            <w:r w:rsidRPr="00D10B4E">
              <w:rPr>
                <w:rFonts w:eastAsia="Times New Roman" w:cs="Calibri"/>
                <w:bCs/>
                <w:color w:val="000000"/>
                <w:sz w:val="24"/>
                <w:szCs w:val="24"/>
              </w:rPr>
              <w:t>Eje Estratégico:</w:t>
            </w:r>
            <w:r w:rsidRPr="00D10B4E">
              <w:rPr>
                <w:rFonts w:eastAsia="Times New Roman" w:cs="Calibri"/>
                <w:b w:val="0"/>
                <w:color w:val="000000"/>
                <w:sz w:val="24"/>
                <w:szCs w:val="24"/>
              </w:rPr>
              <w:t xml:space="preserve"> No. 2: Calidad de la Gestión Institucional.</w:t>
            </w:r>
          </w:p>
        </w:tc>
        <w:tc>
          <w:tcPr>
            <w:tcW w:w="4111" w:type="dxa"/>
            <w:tcBorders>
              <w:top w:val="nil"/>
              <w:left w:val="nil"/>
              <w:bottom w:val="nil"/>
              <w:right w:val="single" w:sz="8" w:space="0" w:color="auto"/>
            </w:tcBorders>
            <w:shd w:val="clear" w:color="auto" w:fill="auto"/>
            <w:vAlign w:val="center"/>
            <w:hideMark/>
          </w:tcPr>
          <w:p w:rsidR="00D10B4E" w:rsidRPr="00D10B4E" w:rsidRDefault="00D10B4E" w:rsidP="00D10B4E">
            <w:pPr>
              <w:spacing w:after="0" w:line="360" w:lineRule="auto"/>
              <w:rPr>
                <w:rFonts w:eastAsia="Times New Roman" w:cs="Calibri"/>
                <w:bCs/>
                <w:color w:val="000000"/>
                <w:sz w:val="24"/>
                <w:szCs w:val="24"/>
              </w:rPr>
            </w:pPr>
            <w:r w:rsidRPr="00D10B4E">
              <w:rPr>
                <w:rFonts w:eastAsia="Times New Roman" w:cs="Calibri"/>
                <w:bCs/>
                <w:color w:val="000000"/>
                <w:sz w:val="24"/>
                <w:szCs w:val="24"/>
              </w:rPr>
              <w:t>Meta</w:t>
            </w:r>
          </w:p>
        </w:tc>
      </w:tr>
      <w:tr w:rsidR="00D10B4E" w:rsidRPr="00D10B4E" w:rsidTr="003E7B3E">
        <w:trPr>
          <w:trHeight w:val="300"/>
          <w:jc w:val="center"/>
        </w:trPr>
        <w:tc>
          <w:tcPr>
            <w:tcW w:w="4668" w:type="dxa"/>
            <w:tcBorders>
              <w:top w:val="nil"/>
              <w:left w:val="single" w:sz="8" w:space="0" w:color="auto"/>
              <w:bottom w:val="nil"/>
              <w:right w:val="single" w:sz="8" w:space="0" w:color="auto"/>
            </w:tcBorders>
            <w:shd w:val="clear" w:color="auto" w:fill="auto"/>
            <w:vAlign w:val="center"/>
            <w:hideMark/>
          </w:tcPr>
          <w:p w:rsidR="00D10B4E" w:rsidRPr="00D10B4E" w:rsidRDefault="00D10B4E" w:rsidP="00D10B4E">
            <w:pPr>
              <w:spacing w:after="0" w:line="360" w:lineRule="auto"/>
              <w:rPr>
                <w:rFonts w:eastAsia="Times New Roman" w:cs="Calibri"/>
                <w:b w:val="0"/>
                <w:color w:val="000000"/>
                <w:sz w:val="24"/>
                <w:szCs w:val="24"/>
              </w:rPr>
            </w:pPr>
            <w:r w:rsidRPr="00D10B4E">
              <w:rPr>
                <w:rFonts w:eastAsia="Times New Roman" w:cs="Calibri"/>
                <w:b w:val="0"/>
                <w:color w:val="000000"/>
                <w:sz w:val="24"/>
                <w:szCs w:val="24"/>
              </w:rPr>
              <w:t> </w:t>
            </w:r>
          </w:p>
        </w:tc>
        <w:tc>
          <w:tcPr>
            <w:tcW w:w="4111" w:type="dxa"/>
            <w:tcBorders>
              <w:top w:val="nil"/>
              <w:left w:val="nil"/>
              <w:bottom w:val="nil"/>
              <w:right w:val="single" w:sz="8" w:space="0" w:color="auto"/>
            </w:tcBorders>
            <w:shd w:val="clear" w:color="auto" w:fill="auto"/>
            <w:vAlign w:val="center"/>
            <w:hideMark/>
          </w:tcPr>
          <w:p w:rsidR="00D10B4E" w:rsidRPr="00D10B4E" w:rsidRDefault="00D10B4E" w:rsidP="00D10B4E">
            <w:pPr>
              <w:spacing w:after="0" w:line="360" w:lineRule="auto"/>
              <w:rPr>
                <w:rFonts w:eastAsia="Times New Roman" w:cs="Calibri"/>
                <w:b w:val="0"/>
                <w:color w:val="000000"/>
                <w:sz w:val="24"/>
                <w:szCs w:val="24"/>
              </w:rPr>
            </w:pPr>
            <w:r w:rsidRPr="00D10B4E">
              <w:rPr>
                <w:rFonts w:eastAsia="Times New Roman" w:cs="Calibri"/>
                <w:bCs/>
                <w:color w:val="000000"/>
                <w:sz w:val="24"/>
                <w:szCs w:val="24"/>
              </w:rPr>
              <w:t>Año:</w:t>
            </w:r>
            <w:r w:rsidRPr="00D10B4E">
              <w:rPr>
                <w:rFonts w:eastAsia="Times New Roman" w:cs="Calibri"/>
                <w:b w:val="0"/>
                <w:color w:val="000000"/>
                <w:sz w:val="24"/>
                <w:szCs w:val="24"/>
              </w:rPr>
              <w:t xml:space="preserve"> 2023</w:t>
            </w:r>
          </w:p>
        </w:tc>
      </w:tr>
      <w:tr w:rsidR="00D10B4E" w:rsidRPr="00D10B4E" w:rsidTr="003E7B3E">
        <w:trPr>
          <w:trHeight w:val="1545"/>
          <w:jc w:val="center"/>
        </w:trPr>
        <w:tc>
          <w:tcPr>
            <w:tcW w:w="4668" w:type="dxa"/>
            <w:tcBorders>
              <w:top w:val="nil"/>
              <w:left w:val="single" w:sz="8" w:space="0" w:color="auto"/>
              <w:bottom w:val="single" w:sz="8" w:space="0" w:color="auto"/>
              <w:right w:val="single" w:sz="8" w:space="0" w:color="auto"/>
            </w:tcBorders>
            <w:shd w:val="clear" w:color="auto" w:fill="auto"/>
            <w:vAlign w:val="center"/>
            <w:hideMark/>
          </w:tcPr>
          <w:p w:rsidR="00D10B4E" w:rsidRPr="00D10B4E" w:rsidRDefault="00D10B4E" w:rsidP="00D10B4E">
            <w:pPr>
              <w:spacing w:after="0" w:line="360" w:lineRule="auto"/>
              <w:rPr>
                <w:rFonts w:eastAsia="Times New Roman" w:cs="Calibri"/>
                <w:b w:val="0"/>
                <w:color w:val="000000"/>
                <w:sz w:val="24"/>
                <w:szCs w:val="24"/>
              </w:rPr>
            </w:pPr>
            <w:r w:rsidRPr="00D10B4E">
              <w:rPr>
                <w:rFonts w:eastAsia="Times New Roman" w:cs="Calibri"/>
                <w:bCs/>
                <w:color w:val="000000"/>
                <w:sz w:val="24"/>
                <w:szCs w:val="24"/>
              </w:rPr>
              <w:t>Objetivo Estratégico:</w:t>
            </w:r>
            <w:r w:rsidRPr="00D10B4E">
              <w:rPr>
                <w:rFonts w:eastAsia="Times New Roman" w:cs="Calibri"/>
                <w:b w:val="0"/>
                <w:color w:val="000000"/>
                <w:sz w:val="24"/>
                <w:szCs w:val="24"/>
              </w:rPr>
              <w:t xml:space="preserve"> OE2. Mejorar la calidad de la gestión institucional del INAZUCAR de cara al cumplimiento de su mandato legal.</w:t>
            </w:r>
          </w:p>
        </w:tc>
        <w:tc>
          <w:tcPr>
            <w:tcW w:w="4111" w:type="dxa"/>
            <w:tcBorders>
              <w:top w:val="nil"/>
              <w:left w:val="nil"/>
              <w:bottom w:val="single" w:sz="8" w:space="0" w:color="auto"/>
              <w:right w:val="single" w:sz="8" w:space="0" w:color="auto"/>
            </w:tcBorders>
            <w:shd w:val="clear" w:color="auto" w:fill="auto"/>
            <w:vAlign w:val="center"/>
            <w:hideMark/>
          </w:tcPr>
          <w:p w:rsidR="00D10B4E" w:rsidRPr="00D10B4E" w:rsidRDefault="00D10B4E" w:rsidP="00D10B4E">
            <w:pPr>
              <w:spacing w:after="0" w:line="360" w:lineRule="auto"/>
              <w:rPr>
                <w:rFonts w:eastAsia="Times New Roman" w:cs="Calibri"/>
                <w:b w:val="0"/>
                <w:color w:val="000000"/>
                <w:sz w:val="24"/>
                <w:szCs w:val="24"/>
              </w:rPr>
            </w:pPr>
            <w:r w:rsidRPr="00D10B4E">
              <w:rPr>
                <w:rFonts w:eastAsia="Times New Roman" w:cs="Calibri"/>
                <w:bCs/>
                <w:color w:val="000000"/>
                <w:sz w:val="24"/>
                <w:szCs w:val="24"/>
              </w:rPr>
              <w:t>Valor:</w:t>
            </w:r>
            <w:r w:rsidRPr="00D10B4E">
              <w:rPr>
                <w:rFonts w:eastAsia="Times New Roman" w:cs="Calibri"/>
                <w:b w:val="0"/>
                <w:color w:val="000000"/>
                <w:sz w:val="24"/>
                <w:szCs w:val="24"/>
              </w:rPr>
              <w:t xml:space="preserve"> 100%</w:t>
            </w:r>
          </w:p>
        </w:tc>
      </w:tr>
      <w:tr w:rsidR="00D10B4E" w:rsidRPr="00D10B4E" w:rsidTr="003E7B3E">
        <w:trPr>
          <w:trHeight w:val="720"/>
          <w:jc w:val="center"/>
        </w:trPr>
        <w:tc>
          <w:tcPr>
            <w:tcW w:w="87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10B4E" w:rsidRPr="00D10B4E" w:rsidRDefault="00D10B4E" w:rsidP="00D10B4E">
            <w:pPr>
              <w:spacing w:after="0" w:line="360" w:lineRule="auto"/>
              <w:rPr>
                <w:rFonts w:eastAsia="Times New Roman" w:cs="Calibri"/>
                <w:b w:val="0"/>
                <w:color w:val="000000"/>
                <w:sz w:val="24"/>
                <w:szCs w:val="24"/>
              </w:rPr>
            </w:pPr>
            <w:r w:rsidRPr="00D10B4E">
              <w:rPr>
                <w:rFonts w:eastAsia="Times New Roman" w:cs="Calibri"/>
                <w:bCs/>
                <w:color w:val="000000"/>
                <w:sz w:val="24"/>
                <w:szCs w:val="24"/>
              </w:rPr>
              <w:t>Descripción del Indicador:</w:t>
            </w:r>
            <w:r w:rsidRPr="00D10B4E">
              <w:rPr>
                <w:rFonts w:eastAsia="Times New Roman" w:cs="Calibri"/>
                <w:b w:val="0"/>
                <w:color w:val="000000"/>
                <w:sz w:val="24"/>
                <w:szCs w:val="24"/>
              </w:rPr>
              <w:t xml:space="preserve"> Niveles de estandarización de procesos técnicos y administrativos del INAZUCAR, alineados a la normativa nacional vigente, al 2023.</w:t>
            </w:r>
          </w:p>
        </w:tc>
      </w:tr>
      <w:tr w:rsidR="00D10B4E" w:rsidRPr="00D10B4E" w:rsidTr="003E7B3E">
        <w:trPr>
          <w:trHeight w:val="315"/>
          <w:jc w:val="center"/>
        </w:trPr>
        <w:tc>
          <w:tcPr>
            <w:tcW w:w="87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10B4E" w:rsidRPr="00D10B4E" w:rsidRDefault="00D10B4E" w:rsidP="00D10B4E">
            <w:pPr>
              <w:spacing w:after="0" w:line="360" w:lineRule="auto"/>
              <w:jc w:val="center"/>
              <w:rPr>
                <w:rFonts w:eastAsia="Times New Roman" w:cs="Calibri"/>
                <w:bCs/>
                <w:color w:val="000000"/>
                <w:sz w:val="24"/>
                <w:szCs w:val="24"/>
              </w:rPr>
            </w:pPr>
            <w:r w:rsidRPr="00D10B4E">
              <w:rPr>
                <w:rFonts w:eastAsia="Times New Roman" w:cs="Calibri"/>
                <w:bCs/>
                <w:color w:val="000000"/>
                <w:sz w:val="24"/>
                <w:szCs w:val="24"/>
              </w:rPr>
              <w:t>Característica del Indicador</w:t>
            </w:r>
          </w:p>
        </w:tc>
      </w:tr>
      <w:tr w:rsidR="00D10B4E" w:rsidRPr="00D10B4E" w:rsidTr="003E7B3E">
        <w:trPr>
          <w:trHeight w:val="315"/>
          <w:jc w:val="center"/>
        </w:trPr>
        <w:tc>
          <w:tcPr>
            <w:tcW w:w="87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10B4E" w:rsidRPr="00D10B4E" w:rsidRDefault="00D10B4E" w:rsidP="00D10B4E">
            <w:pPr>
              <w:spacing w:after="0" w:line="360" w:lineRule="auto"/>
              <w:rPr>
                <w:rFonts w:eastAsia="Times New Roman" w:cs="Calibri"/>
                <w:b w:val="0"/>
                <w:color w:val="000000"/>
                <w:sz w:val="24"/>
                <w:szCs w:val="24"/>
              </w:rPr>
            </w:pPr>
            <w:r w:rsidRPr="00D10B4E">
              <w:rPr>
                <w:rFonts w:eastAsia="Times New Roman" w:cs="Calibri"/>
                <w:bCs/>
                <w:color w:val="000000"/>
                <w:sz w:val="24"/>
                <w:szCs w:val="24"/>
              </w:rPr>
              <w:t>Clasificación:</w:t>
            </w:r>
            <w:r w:rsidRPr="00D10B4E">
              <w:rPr>
                <w:rFonts w:eastAsia="Times New Roman" w:cs="Calibri"/>
                <w:b w:val="0"/>
                <w:color w:val="000000"/>
                <w:sz w:val="24"/>
                <w:szCs w:val="24"/>
              </w:rPr>
              <w:t xml:space="preserve"> Calidad</w:t>
            </w:r>
          </w:p>
        </w:tc>
      </w:tr>
      <w:tr w:rsidR="00D10B4E" w:rsidRPr="00D10B4E" w:rsidTr="003E7B3E">
        <w:trPr>
          <w:trHeight w:val="525"/>
          <w:jc w:val="center"/>
        </w:trPr>
        <w:tc>
          <w:tcPr>
            <w:tcW w:w="4668" w:type="dxa"/>
            <w:tcBorders>
              <w:top w:val="nil"/>
              <w:left w:val="single" w:sz="8" w:space="0" w:color="auto"/>
              <w:bottom w:val="single" w:sz="8" w:space="0" w:color="auto"/>
              <w:right w:val="single" w:sz="8" w:space="0" w:color="auto"/>
            </w:tcBorders>
            <w:shd w:val="clear" w:color="auto" w:fill="auto"/>
            <w:vAlign w:val="center"/>
            <w:hideMark/>
          </w:tcPr>
          <w:p w:rsidR="00D10B4E" w:rsidRPr="00D10B4E" w:rsidRDefault="00D10B4E" w:rsidP="00D10B4E">
            <w:pPr>
              <w:spacing w:after="0" w:line="360" w:lineRule="auto"/>
              <w:rPr>
                <w:rFonts w:eastAsia="Times New Roman" w:cs="Calibri"/>
                <w:b w:val="0"/>
                <w:color w:val="000000"/>
                <w:sz w:val="24"/>
                <w:szCs w:val="24"/>
              </w:rPr>
            </w:pPr>
            <w:r w:rsidRPr="00D10B4E">
              <w:rPr>
                <w:rFonts w:eastAsia="Times New Roman" w:cs="Calibri"/>
                <w:bCs/>
                <w:color w:val="000000"/>
                <w:sz w:val="24"/>
                <w:szCs w:val="24"/>
              </w:rPr>
              <w:t>Frecuencia de medición:</w:t>
            </w:r>
            <w:r w:rsidRPr="00D10B4E">
              <w:rPr>
                <w:rFonts w:eastAsia="Times New Roman" w:cs="Calibri"/>
                <w:b w:val="0"/>
                <w:color w:val="000000"/>
                <w:sz w:val="24"/>
                <w:szCs w:val="24"/>
              </w:rPr>
              <w:t xml:space="preserve"> Anual</w:t>
            </w:r>
          </w:p>
        </w:tc>
        <w:tc>
          <w:tcPr>
            <w:tcW w:w="4111" w:type="dxa"/>
            <w:tcBorders>
              <w:top w:val="nil"/>
              <w:left w:val="nil"/>
              <w:bottom w:val="single" w:sz="8" w:space="0" w:color="auto"/>
              <w:right w:val="single" w:sz="8" w:space="0" w:color="auto"/>
            </w:tcBorders>
            <w:shd w:val="clear" w:color="auto" w:fill="auto"/>
            <w:vAlign w:val="center"/>
            <w:hideMark/>
          </w:tcPr>
          <w:p w:rsidR="00D10B4E" w:rsidRPr="00D10B4E" w:rsidRDefault="00D10B4E" w:rsidP="00D10B4E">
            <w:pPr>
              <w:spacing w:after="0" w:line="360" w:lineRule="auto"/>
              <w:rPr>
                <w:rFonts w:eastAsia="Times New Roman" w:cs="Calibri"/>
                <w:b w:val="0"/>
                <w:color w:val="000000"/>
                <w:sz w:val="24"/>
                <w:szCs w:val="24"/>
              </w:rPr>
            </w:pPr>
            <w:r w:rsidRPr="00D10B4E">
              <w:rPr>
                <w:rFonts w:eastAsia="Times New Roman" w:cs="Calibri"/>
                <w:bCs/>
                <w:color w:val="000000"/>
                <w:sz w:val="24"/>
                <w:szCs w:val="24"/>
              </w:rPr>
              <w:t>Unidad de Medida:</w:t>
            </w:r>
            <w:r w:rsidRPr="00D10B4E">
              <w:rPr>
                <w:rFonts w:eastAsia="Times New Roman" w:cs="Calibri"/>
                <w:b w:val="0"/>
                <w:color w:val="000000"/>
                <w:sz w:val="24"/>
                <w:szCs w:val="24"/>
              </w:rPr>
              <w:t xml:space="preserve"> Porcentaje</w:t>
            </w:r>
          </w:p>
        </w:tc>
      </w:tr>
      <w:tr w:rsidR="00D10B4E" w:rsidRPr="00D10B4E" w:rsidTr="003E7B3E">
        <w:trPr>
          <w:trHeight w:val="315"/>
          <w:jc w:val="center"/>
        </w:trPr>
        <w:tc>
          <w:tcPr>
            <w:tcW w:w="87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10B4E" w:rsidRPr="00D10B4E" w:rsidRDefault="00D10B4E" w:rsidP="00D10B4E">
            <w:pPr>
              <w:spacing w:after="0" w:line="360" w:lineRule="auto"/>
              <w:jc w:val="center"/>
              <w:rPr>
                <w:rFonts w:eastAsia="Times New Roman" w:cs="Calibri"/>
                <w:bCs/>
                <w:color w:val="000000"/>
                <w:sz w:val="24"/>
                <w:szCs w:val="24"/>
              </w:rPr>
            </w:pPr>
            <w:r w:rsidRPr="00D10B4E">
              <w:rPr>
                <w:rFonts w:eastAsia="Times New Roman" w:cs="Calibri"/>
                <w:bCs/>
                <w:color w:val="000000"/>
                <w:sz w:val="24"/>
                <w:szCs w:val="24"/>
              </w:rPr>
              <w:t>Calculo y especificación de datos</w:t>
            </w:r>
          </w:p>
        </w:tc>
      </w:tr>
      <w:tr w:rsidR="00D10B4E" w:rsidRPr="00D10B4E" w:rsidTr="003E7B3E">
        <w:trPr>
          <w:trHeight w:val="315"/>
          <w:jc w:val="center"/>
        </w:trPr>
        <w:tc>
          <w:tcPr>
            <w:tcW w:w="87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10B4E" w:rsidRPr="00D10B4E" w:rsidRDefault="00D10B4E" w:rsidP="00D10B4E">
            <w:pPr>
              <w:spacing w:after="0" w:line="360" w:lineRule="auto"/>
              <w:rPr>
                <w:rFonts w:eastAsia="Times New Roman" w:cs="Calibri"/>
                <w:b w:val="0"/>
                <w:color w:val="000000"/>
                <w:sz w:val="24"/>
                <w:szCs w:val="24"/>
              </w:rPr>
            </w:pPr>
            <w:r w:rsidRPr="00D10B4E">
              <w:rPr>
                <w:rFonts w:eastAsia="Times New Roman" w:cs="Calibri"/>
                <w:bCs/>
                <w:color w:val="000000"/>
                <w:sz w:val="24"/>
                <w:szCs w:val="24"/>
              </w:rPr>
              <w:t>Fórmula de cálculo:</w:t>
            </w:r>
            <w:r w:rsidRPr="00D10B4E">
              <w:rPr>
                <w:rFonts w:eastAsia="Times New Roman" w:cs="Calibri"/>
                <w:b w:val="0"/>
                <w:color w:val="000000"/>
                <w:sz w:val="24"/>
                <w:szCs w:val="24"/>
              </w:rPr>
              <w:t xml:space="preserve"> NE=PE/PI</w:t>
            </w:r>
          </w:p>
        </w:tc>
      </w:tr>
      <w:tr w:rsidR="00D10B4E" w:rsidRPr="00D10B4E" w:rsidTr="003E7B3E">
        <w:trPr>
          <w:trHeight w:val="315"/>
          <w:jc w:val="center"/>
        </w:trPr>
        <w:tc>
          <w:tcPr>
            <w:tcW w:w="87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10B4E" w:rsidRPr="00D10B4E" w:rsidRDefault="00D10B4E" w:rsidP="00D10B4E">
            <w:pPr>
              <w:spacing w:after="0" w:line="360" w:lineRule="auto"/>
              <w:rPr>
                <w:rFonts w:eastAsia="Times New Roman" w:cs="Calibri"/>
                <w:b w:val="0"/>
                <w:color w:val="000000"/>
                <w:sz w:val="24"/>
                <w:szCs w:val="24"/>
              </w:rPr>
            </w:pPr>
            <w:r w:rsidRPr="00D10B4E">
              <w:rPr>
                <w:rFonts w:eastAsia="Times New Roman" w:cs="Calibri"/>
                <w:bCs/>
                <w:color w:val="000000"/>
                <w:sz w:val="24"/>
                <w:szCs w:val="24"/>
              </w:rPr>
              <w:t>Desagregación demográfica y geográfica:</w:t>
            </w:r>
            <w:r w:rsidRPr="00D10B4E">
              <w:rPr>
                <w:rFonts w:eastAsia="Times New Roman" w:cs="Calibri"/>
                <w:b w:val="0"/>
                <w:color w:val="000000"/>
                <w:sz w:val="24"/>
                <w:szCs w:val="24"/>
              </w:rPr>
              <w:t xml:space="preserve"> N/A</w:t>
            </w:r>
          </w:p>
        </w:tc>
      </w:tr>
      <w:tr w:rsidR="00D10B4E" w:rsidRPr="00D10B4E" w:rsidTr="003E7B3E">
        <w:trPr>
          <w:trHeight w:val="660"/>
          <w:jc w:val="center"/>
        </w:trPr>
        <w:tc>
          <w:tcPr>
            <w:tcW w:w="87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10B4E" w:rsidRPr="00D10B4E" w:rsidRDefault="00D10B4E" w:rsidP="00D10B4E">
            <w:pPr>
              <w:spacing w:after="0" w:line="360" w:lineRule="auto"/>
              <w:jc w:val="left"/>
              <w:rPr>
                <w:rFonts w:eastAsia="Times New Roman" w:cs="Calibri"/>
                <w:b w:val="0"/>
                <w:color w:val="000000"/>
                <w:sz w:val="24"/>
                <w:szCs w:val="24"/>
              </w:rPr>
            </w:pPr>
            <w:r w:rsidRPr="00D10B4E">
              <w:rPr>
                <w:rFonts w:eastAsia="Times New Roman" w:cs="Calibri"/>
                <w:bCs/>
                <w:color w:val="000000"/>
                <w:sz w:val="24"/>
                <w:szCs w:val="24"/>
              </w:rPr>
              <w:t>Fuente del dato:</w:t>
            </w:r>
            <w:r w:rsidRPr="00D10B4E">
              <w:rPr>
                <w:rFonts w:eastAsia="Times New Roman" w:cs="Calibri"/>
                <w:b w:val="0"/>
                <w:color w:val="000000"/>
                <w:sz w:val="24"/>
                <w:szCs w:val="24"/>
              </w:rPr>
              <w:t xml:space="preserve"> División de Planificación y Desarrollo del INAZUCAR, MEPYD, MAP, Contraloría General de la República.</w:t>
            </w:r>
          </w:p>
        </w:tc>
      </w:tr>
      <w:tr w:rsidR="00D10B4E" w:rsidRPr="00D10B4E" w:rsidTr="003E7B3E">
        <w:trPr>
          <w:trHeight w:val="840"/>
          <w:jc w:val="center"/>
        </w:trPr>
        <w:tc>
          <w:tcPr>
            <w:tcW w:w="87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10B4E" w:rsidRPr="00D10B4E" w:rsidRDefault="00D10B4E" w:rsidP="00D10B4E">
            <w:pPr>
              <w:spacing w:after="0" w:line="360" w:lineRule="auto"/>
              <w:rPr>
                <w:rFonts w:eastAsia="Times New Roman" w:cs="Calibri"/>
                <w:b w:val="0"/>
                <w:color w:val="000000"/>
                <w:sz w:val="24"/>
                <w:szCs w:val="24"/>
              </w:rPr>
            </w:pPr>
            <w:r w:rsidRPr="00D10B4E">
              <w:rPr>
                <w:rFonts w:eastAsia="Times New Roman" w:cs="Calibri"/>
                <w:bCs/>
                <w:color w:val="000000"/>
                <w:sz w:val="24"/>
                <w:szCs w:val="24"/>
              </w:rPr>
              <w:t>Observaciones:</w:t>
            </w:r>
            <w:r w:rsidRPr="00D10B4E">
              <w:rPr>
                <w:rFonts w:eastAsia="Times New Roman" w:cs="Calibri"/>
                <w:b w:val="0"/>
                <w:color w:val="000000"/>
                <w:sz w:val="24"/>
                <w:szCs w:val="24"/>
              </w:rPr>
              <w:t xml:space="preserve"> Lectura de la fórmula de cálculo: NE: Nivel de Estandarización; PI: Procesos Identificados; PE: Procesos Estandarizados</w:t>
            </w:r>
          </w:p>
        </w:tc>
      </w:tr>
    </w:tbl>
    <w:p w:rsidR="00D10B4E" w:rsidRDefault="00D10B4E" w:rsidP="007B0D80"/>
    <w:p w:rsidR="00D10B4E" w:rsidRDefault="00D10B4E" w:rsidP="007B0D80"/>
    <w:p w:rsidR="00D10B4E" w:rsidRDefault="00D10B4E" w:rsidP="007B0D80"/>
    <w:p w:rsidR="00D10B4E" w:rsidRDefault="00D10B4E" w:rsidP="007B0D80"/>
    <w:p w:rsidR="00D10B4E" w:rsidRDefault="00D10B4E" w:rsidP="007B0D80"/>
    <w:tbl>
      <w:tblPr>
        <w:tblW w:w="8779" w:type="dxa"/>
        <w:jc w:val="center"/>
        <w:tblLook w:val="04A0"/>
      </w:tblPr>
      <w:tblGrid>
        <w:gridCol w:w="4668"/>
        <w:gridCol w:w="4111"/>
      </w:tblGrid>
      <w:tr w:rsidR="003A099C" w:rsidRPr="003A099C" w:rsidTr="003E7B3E">
        <w:trPr>
          <w:trHeight w:val="315"/>
          <w:jc w:val="center"/>
        </w:trPr>
        <w:tc>
          <w:tcPr>
            <w:tcW w:w="87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A099C" w:rsidRPr="003A099C" w:rsidRDefault="003A099C" w:rsidP="003A099C">
            <w:pPr>
              <w:spacing w:after="0" w:line="360" w:lineRule="auto"/>
              <w:jc w:val="center"/>
              <w:rPr>
                <w:rFonts w:eastAsia="Times New Roman" w:cs="Calibri"/>
                <w:bCs/>
                <w:color w:val="000000"/>
                <w:sz w:val="24"/>
                <w:szCs w:val="24"/>
              </w:rPr>
            </w:pPr>
            <w:r w:rsidRPr="003A099C">
              <w:rPr>
                <w:rFonts w:eastAsia="Times New Roman" w:cs="Calibri"/>
                <w:bCs/>
                <w:color w:val="000000"/>
                <w:sz w:val="24"/>
                <w:szCs w:val="24"/>
              </w:rPr>
              <w:lastRenderedPageBreak/>
              <w:t>Tabla No. X: Ficha del Indicador 2.2. Capacidades Institucionales</w:t>
            </w:r>
          </w:p>
        </w:tc>
      </w:tr>
      <w:tr w:rsidR="003A099C" w:rsidRPr="003A099C" w:rsidTr="003E7B3E">
        <w:trPr>
          <w:trHeight w:val="315"/>
          <w:jc w:val="center"/>
        </w:trPr>
        <w:tc>
          <w:tcPr>
            <w:tcW w:w="87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A099C" w:rsidRPr="003A099C" w:rsidRDefault="003A099C" w:rsidP="003A099C">
            <w:pPr>
              <w:spacing w:after="0" w:line="360" w:lineRule="auto"/>
              <w:jc w:val="center"/>
              <w:rPr>
                <w:rFonts w:eastAsia="Times New Roman" w:cs="Calibri"/>
                <w:bCs/>
                <w:color w:val="000000"/>
                <w:sz w:val="24"/>
                <w:szCs w:val="24"/>
              </w:rPr>
            </w:pPr>
            <w:r w:rsidRPr="003A099C">
              <w:rPr>
                <w:rFonts w:eastAsia="Times New Roman" w:cs="Calibri"/>
                <w:bCs/>
                <w:color w:val="000000"/>
                <w:sz w:val="24"/>
                <w:szCs w:val="24"/>
              </w:rPr>
              <w:t>Información General del Indicador:</w:t>
            </w:r>
          </w:p>
        </w:tc>
      </w:tr>
      <w:tr w:rsidR="003A099C" w:rsidRPr="003A099C" w:rsidTr="003E7B3E">
        <w:trPr>
          <w:trHeight w:val="300"/>
          <w:jc w:val="center"/>
        </w:trPr>
        <w:tc>
          <w:tcPr>
            <w:tcW w:w="4668" w:type="dxa"/>
            <w:vMerge w:val="restart"/>
            <w:tcBorders>
              <w:top w:val="nil"/>
              <w:left w:val="single" w:sz="8" w:space="0" w:color="auto"/>
              <w:bottom w:val="single" w:sz="8" w:space="0" w:color="000000"/>
              <w:right w:val="single" w:sz="8" w:space="0" w:color="auto"/>
            </w:tcBorders>
            <w:shd w:val="clear" w:color="auto" w:fill="auto"/>
            <w:vAlign w:val="center"/>
            <w:hideMark/>
          </w:tcPr>
          <w:p w:rsidR="003A099C" w:rsidRPr="003A099C" w:rsidRDefault="003A099C" w:rsidP="003A099C">
            <w:pPr>
              <w:spacing w:after="0" w:line="360" w:lineRule="auto"/>
              <w:rPr>
                <w:rFonts w:eastAsia="Times New Roman" w:cs="Calibri"/>
                <w:b w:val="0"/>
                <w:color w:val="000000"/>
                <w:sz w:val="24"/>
                <w:szCs w:val="24"/>
              </w:rPr>
            </w:pPr>
            <w:r w:rsidRPr="003A099C">
              <w:rPr>
                <w:rFonts w:eastAsia="Times New Roman" w:cs="Calibri"/>
                <w:bCs/>
                <w:color w:val="000000"/>
                <w:sz w:val="24"/>
                <w:szCs w:val="24"/>
              </w:rPr>
              <w:t>Nombre del indicador:</w:t>
            </w:r>
            <w:r w:rsidRPr="003A099C">
              <w:rPr>
                <w:rFonts w:eastAsia="Times New Roman" w:cs="Calibri"/>
                <w:b w:val="0"/>
                <w:color w:val="000000"/>
                <w:sz w:val="24"/>
                <w:szCs w:val="24"/>
              </w:rPr>
              <w:t xml:space="preserve"> 2.2. Capacidades Institucionales.</w:t>
            </w:r>
          </w:p>
        </w:tc>
        <w:tc>
          <w:tcPr>
            <w:tcW w:w="4111" w:type="dxa"/>
            <w:tcBorders>
              <w:top w:val="nil"/>
              <w:left w:val="nil"/>
              <w:bottom w:val="nil"/>
              <w:right w:val="single" w:sz="8" w:space="0" w:color="auto"/>
            </w:tcBorders>
            <w:shd w:val="clear" w:color="auto" w:fill="auto"/>
            <w:vAlign w:val="center"/>
            <w:hideMark/>
          </w:tcPr>
          <w:p w:rsidR="003A099C" w:rsidRPr="003A099C" w:rsidRDefault="003A099C" w:rsidP="003A099C">
            <w:pPr>
              <w:spacing w:after="0" w:line="360" w:lineRule="auto"/>
              <w:rPr>
                <w:rFonts w:eastAsia="Times New Roman" w:cs="Calibri"/>
                <w:bCs/>
                <w:color w:val="000000"/>
                <w:sz w:val="24"/>
                <w:szCs w:val="24"/>
              </w:rPr>
            </w:pPr>
            <w:r w:rsidRPr="003A099C">
              <w:rPr>
                <w:rFonts w:eastAsia="Times New Roman" w:cs="Calibri"/>
                <w:bCs/>
                <w:color w:val="000000"/>
                <w:sz w:val="24"/>
                <w:szCs w:val="24"/>
              </w:rPr>
              <w:t xml:space="preserve">Línea Base </w:t>
            </w:r>
          </w:p>
        </w:tc>
      </w:tr>
      <w:tr w:rsidR="003A099C" w:rsidRPr="003A099C" w:rsidTr="003E7B3E">
        <w:trPr>
          <w:trHeight w:val="300"/>
          <w:jc w:val="center"/>
        </w:trPr>
        <w:tc>
          <w:tcPr>
            <w:tcW w:w="4668" w:type="dxa"/>
            <w:vMerge/>
            <w:tcBorders>
              <w:top w:val="nil"/>
              <w:left w:val="single" w:sz="8" w:space="0" w:color="auto"/>
              <w:bottom w:val="single" w:sz="8" w:space="0" w:color="000000"/>
              <w:right w:val="single" w:sz="8" w:space="0" w:color="auto"/>
            </w:tcBorders>
            <w:vAlign w:val="center"/>
            <w:hideMark/>
          </w:tcPr>
          <w:p w:rsidR="003A099C" w:rsidRPr="003A099C" w:rsidRDefault="003A099C" w:rsidP="003A099C">
            <w:pPr>
              <w:spacing w:after="0" w:line="360" w:lineRule="auto"/>
              <w:jc w:val="left"/>
              <w:rPr>
                <w:rFonts w:eastAsia="Times New Roman" w:cs="Calibri"/>
                <w:b w:val="0"/>
                <w:color w:val="000000"/>
                <w:sz w:val="24"/>
                <w:szCs w:val="24"/>
              </w:rPr>
            </w:pPr>
          </w:p>
        </w:tc>
        <w:tc>
          <w:tcPr>
            <w:tcW w:w="4111" w:type="dxa"/>
            <w:tcBorders>
              <w:top w:val="nil"/>
              <w:left w:val="nil"/>
              <w:bottom w:val="nil"/>
              <w:right w:val="single" w:sz="8" w:space="0" w:color="auto"/>
            </w:tcBorders>
            <w:shd w:val="clear" w:color="auto" w:fill="auto"/>
            <w:vAlign w:val="center"/>
            <w:hideMark/>
          </w:tcPr>
          <w:p w:rsidR="003A099C" w:rsidRPr="003A099C" w:rsidRDefault="003A099C" w:rsidP="003A099C">
            <w:pPr>
              <w:spacing w:after="0" w:line="360" w:lineRule="auto"/>
              <w:rPr>
                <w:rFonts w:eastAsia="Times New Roman" w:cs="Calibri"/>
                <w:b w:val="0"/>
                <w:color w:val="000000"/>
                <w:sz w:val="24"/>
                <w:szCs w:val="24"/>
              </w:rPr>
            </w:pPr>
            <w:r w:rsidRPr="003A099C">
              <w:rPr>
                <w:rFonts w:eastAsia="Times New Roman" w:cs="Calibri"/>
                <w:bCs/>
                <w:color w:val="000000"/>
                <w:sz w:val="24"/>
                <w:szCs w:val="24"/>
              </w:rPr>
              <w:t>Año:</w:t>
            </w:r>
            <w:r w:rsidRPr="003A099C">
              <w:rPr>
                <w:rFonts w:eastAsia="Times New Roman" w:cs="Calibri"/>
                <w:b w:val="0"/>
                <w:color w:val="000000"/>
                <w:sz w:val="24"/>
                <w:szCs w:val="24"/>
              </w:rPr>
              <w:t xml:space="preserve"> 2020</w:t>
            </w:r>
          </w:p>
        </w:tc>
      </w:tr>
      <w:tr w:rsidR="003A099C" w:rsidRPr="003A099C" w:rsidTr="003E7B3E">
        <w:trPr>
          <w:trHeight w:val="315"/>
          <w:jc w:val="center"/>
        </w:trPr>
        <w:tc>
          <w:tcPr>
            <w:tcW w:w="4668" w:type="dxa"/>
            <w:vMerge/>
            <w:tcBorders>
              <w:top w:val="nil"/>
              <w:left w:val="single" w:sz="8" w:space="0" w:color="auto"/>
              <w:bottom w:val="single" w:sz="8" w:space="0" w:color="000000"/>
              <w:right w:val="single" w:sz="8" w:space="0" w:color="auto"/>
            </w:tcBorders>
            <w:vAlign w:val="center"/>
            <w:hideMark/>
          </w:tcPr>
          <w:p w:rsidR="003A099C" w:rsidRPr="003A099C" w:rsidRDefault="003A099C" w:rsidP="003A099C">
            <w:pPr>
              <w:spacing w:after="0" w:line="360" w:lineRule="auto"/>
              <w:jc w:val="left"/>
              <w:rPr>
                <w:rFonts w:eastAsia="Times New Roman" w:cs="Calibri"/>
                <w:b w:val="0"/>
                <w:color w:val="000000"/>
                <w:sz w:val="24"/>
                <w:szCs w:val="24"/>
              </w:rPr>
            </w:pPr>
          </w:p>
        </w:tc>
        <w:tc>
          <w:tcPr>
            <w:tcW w:w="4111" w:type="dxa"/>
            <w:tcBorders>
              <w:top w:val="nil"/>
              <w:left w:val="nil"/>
              <w:bottom w:val="single" w:sz="8" w:space="0" w:color="auto"/>
              <w:right w:val="single" w:sz="8" w:space="0" w:color="auto"/>
            </w:tcBorders>
            <w:shd w:val="clear" w:color="auto" w:fill="auto"/>
            <w:vAlign w:val="center"/>
            <w:hideMark/>
          </w:tcPr>
          <w:p w:rsidR="003A099C" w:rsidRPr="003A099C" w:rsidRDefault="003A099C" w:rsidP="003A099C">
            <w:pPr>
              <w:spacing w:after="0" w:line="360" w:lineRule="auto"/>
              <w:rPr>
                <w:rFonts w:eastAsia="Times New Roman" w:cs="Calibri"/>
                <w:b w:val="0"/>
                <w:color w:val="000000"/>
                <w:sz w:val="24"/>
                <w:szCs w:val="24"/>
              </w:rPr>
            </w:pPr>
            <w:r w:rsidRPr="003A099C">
              <w:rPr>
                <w:rFonts w:eastAsia="Times New Roman" w:cs="Calibri"/>
                <w:bCs/>
                <w:color w:val="000000"/>
                <w:sz w:val="24"/>
                <w:szCs w:val="24"/>
              </w:rPr>
              <w:t>Valor:</w:t>
            </w:r>
            <w:r w:rsidRPr="003A099C">
              <w:rPr>
                <w:rFonts w:eastAsia="Times New Roman" w:cs="Calibri"/>
                <w:b w:val="0"/>
                <w:color w:val="000000"/>
                <w:sz w:val="24"/>
                <w:szCs w:val="24"/>
              </w:rPr>
              <w:t xml:space="preserve"> 15%</w:t>
            </w:r>
          </w:p>
        </w:tc>
      </w:tr>
      <w:tr w:rsidR="003A099C" w:rsidRPr="003A099C" w:rsidTr="003E7B3E">
        <w:trPr>
          <w:trHeight w:val="765"/>
          <w:jc w:val="center"/>
        </w:trPr>
        <w:tc>
          <w:tcPr>
            <w:tcW w:w="4668" w:type="dxa"/>
            <w:tcBorders>
              <w:top w:val="nil"/>
              <w:left w:val="single" w:sz="8" w:space="0" w:color="auto"/>
              <w:bottom w:val="nil"/>
              <w:right w:val="single" w:sz="8" w:space="0" w:color="auto"/>
            </w:tcBorders>
            <w:shd w:val="clear" w:color="auto" w:fill="auto"/>
            <w:vAlign w:val="center"/>
            <w:hideMark/>
          </w:tcPr>
          <w:p w:rsidR="003A099C" w:rsidRPr="003A099C" w:rsidRDefault="003A099C" w:rsidP="003A099C">
            <w:pPr>
              <w:spacing w:after="0" w:line="360" w:lineRule="auto"/>
              <w:rPr>
                <w:rFonts w:eastAsia="Times New Roman" w:cs="Calibri"/>
                <w:b w:val="0"/>
                <w:color w:val="000000"/>
                <w:sz w:val="24"/>
                <w:szCs w:val="24"/>
              </w:rPr>
            </w:pPr>
            <w:r w:rsidRPr="003A099C">
              <w:rPr>
                <w:rFonts w:eastAsia="Times New Roman" w:cs="Calibri"/>
                <w:bCs/>
                <w:color w:val="000000"/>
                <w:sz w:val="24"/>
                <w:szCs w:val="24"/>
              </w:rPr>
              <w:t>Eje Estratégico:</w:t>
            </w:r>
            <w:r w:rsidRPr="003A099C">
              <w:rPr>
                <w:rFonts w:eastAsia="Times New Roman" w:cs="Calibri"/>
                <w:b w:val="0"/>
                <w:color w:val="000000"/>
                <w:sz w:val="24"/>
                <w:szCs w:val="24"/>
              </w:rPr>
              <w:t xml:space="preserve"> No. 2: Calidad de la Gestión Institucional.</w:t>
            </w:r>
          </w:p>
        </w:tc>
        <w:tc>
          <w:tcPr>
            <w:tcW w:w="4111" w:type="dxa"/>
            <w:tcBorders>
              <w:top w:val="nil"/>
              <w:left w:val="nil"/>
              <w:bottom w:val="nil"/>
              <w:right w:val="single" w:sz="8" w:space="0" w:color="auto"/>
            </w:tcBorders>
            <w:shd w:val="clear" w:color="auto" w:fill="auto"/>
            <w:vAlign w:val="center"/>
            <w:hideMark/>
          </w:tcPr>
          <w:p w:rsidR="003A099C" w:rsidRPr="003A099C" w:rsidRDefault="003A099C" w:rsidP="003A099C">
            <w:pPr>
              <w:spacing w:after="0" w:line="360" w:lineRule="auto"/>
              <w:rPr>
                <w:rFonts w:eastAsia="Times New Roman" w:cs="Calibri"/>
                <w:bCs/>
                <w:color w:val="000000"/>
                <w:sz w:val="24"/>
                <w:szCs w:val="24"/>
              </w:rPr>
            </w:pPr>
            <w:r w:rsidRPr="003A099C">
              <w:rPr>
                <w:rFonts w:eastAsia="Times New Roman" w:cs="Calibri"/>
                <w:bCs/>
                <w:color w:val="000000"/>
                <w:sz w:val="24"/>
                <w:szCs w:val="24"/>
              </w:rPr>
              <w:t>Meta</w:t>
            </w:r>
          </w:p>
        </w:tc>
      </w:tr>
      <w:tr w:rsidR="003A099C" w:rsidRPr="003A099C" w:rsidTr="003E7B3E">
        <w:trPr>
          <w:trHeight w:val="300"/>
          <w:jc w:val="center"/>
        </w:trPr>
        <w:tc>
          <w:tcPr>
            <w:tcW w:w="4668" w:type="dxa"/>
            <w:tcBorders>
              <w:top w:val="nil"/>
              <w:left w:val="single" w:sz="8" w:space="0" w:color="auto"/>
              <w:bottom w:val="nil"/>
              <w:right w:val="single" w:sz="8" w:space="0" w:color="auto"/>
            </w:tcBorders>
            <w:shd w:val="clear" w:color="auto" w:fill="auto"/>
            <w:vAlign w:val="center"/>
            <w:hideMark/>
          </w:tcPr>
          <w:p w:rsidR="003A099C" w:rsidRPr="003A099C" w:rsidRDefault="003A099C" w:rsidP="003A099C">
            <w:pPr>
              <w:spacing w:after="0" w:line="360" w:lineRule="auto"/>
              <w:rPr>
                <w:rFonts w:eastAsia="Times New Roman" w:cs="Calibri"/>
                <w:b w:val="0"/>
                <w:color w:val="000000"/>
                <w:sz w:val="24"/>
                <w:szCs w:val="24"/>
              </w:rPr>
            </w:pPr>
            <w:r w:rsidRPr="003A099C">
              <w:rPr>
                <w:rFonts w:eastAsia="Times New Roman" w:cs="Calibri"/>
                <w:b w:val="0"/>
                <w:color w:val="000000"/>
                <w:sz w:val="24"/>
                <w:szCs w:val="24"/>
              </w:rPr>
              <w:t> </w:t>
            </w:r>
          </w:p>
        </w:tc>
        <w:tc>
          <w:tcPr>
            <w:tcW w:w="4111" w:type="dxa"/>
            <w:tcBorders>
              <w:top w:val="nil"/>
              <w:left w:val="nil"/>
              <w:bottom w:val="nil"/>
              <w:right w:val="single" w:sz="8" w:space="0" w:color="auto"/>
            </w:tcBorders>
            <w:shd w:val="clear" w:color="auto" w:fill="auto"/>
            <w:vAlign w:val="center"/>
            <w:hideMark/>
          </w:tcPr>
          <w:p w:rsidR="003A099C" w:rsidRPr="003A099C" w:rsidRDefault="003A099C" w:rsidP="003A099C">
            <w:pPr>
              <w:spacing w:after="0" w:line="360" w:lineRule="auto"/>
              <w:rPr>
                <w:rFonts w:eastAsia="Times New Roman" w:cs="Calibri"/>
                <w:b w:val="0"/>
                <w:color w:val="000000"/>
                <w:sz w:val="24"/>
                <w:szCs w:val="24"/>
              </w:rPr>
            </w:pPr>
            <w:r w:rsidRPr="003A099C">
              <w:rPr>
                <w:rFonts w:eastAsia="Times New Roman" w:cs="Calibri"/>
                <w:bCs/>
                <w:color w:val="000000"/>
                <w:sz w:val="24"/>
                <w:szCs w:val="24"/>
              </w:rPr>
              <w:t>Año:</w:t>
            </w:r>
            <w:r w:rsidRPr="003A099C">
              <w:rPr>
                <w:rFonts w:eastAsia="Times New Roman" w:cs="Calibri"/>
                <w:b w:val="0"/>
                <w:color w:val="000000"/>
                <w:sz w:val="24"/>
                <w:szCs w:val="24"/>
              </w:rPr>
              <w:t xml:space="preserve"> 2023</w:t>
            </w:r>
          </w:p>
        </w:tc>
      </w:tr>
      <w:tr w:rsidR="003A099C" w:rsidRPr="003A099C" w:rsidTr="003E7B3E">
        <w:trPr>
          <w:trHeight w:val="1545"/>
          <w:jc w:val="center"/>
        </w:trPr>
        <w:tc>
          <w:tcPr>
            <w:tcW w:w="4668" w:type="dxa"/>
            <w:tcBorders>
              <w:top w:val="nil"/>
              <w:left w:val="single" w:sz="8" w:space="0" w:color="auto"/>
              <w:bottom w:val="single" w:sz="8" w:space="0" w:color="auto"/>
              <w:right w:val="single" w:sz="8" w:space="0" w:color="auto"/>
            </w:tcBorders>
            <w:shd w:val="clear" w:color="auto" w:fill="auto"/>
            <w:vAlign w:val="center"/>
            <w:hideMark/>
          </w:tcPr>
          <w:p w:rsidR="003A099C" w:rsidRPr="003A099C" w:rsidRDefault="003A099C" w:rsidP="003A099C">
            <w:pPr>
              <w:spacing w:after="0" w:line="360" w:lineRule="auto"/>
              <w:rPr>
                <w:rFonts w:eastAsia="Times New Roman" w:cs="Calibri"/>
                <w:b w:val="0"/>
                <w:color w:val="000000"/>
                <w:sz w:val="24"/>
                <w:szCs w:val="24"/>
              </w:rPr>
            </w:pPr>
            <w:r w:rsidRPr="003A099C">
              <w:rPr>
                <w:rFonts w:eastAsia="Times New Roman" w:cs="Calibri"/>
                <w:bCs/>
                <w:color w:val="000000"/>
                <w:sz w:val="24"/>
                <w:szCs w:val="24"/>
              </w:rPr>
              <w:t xml:space="preserve">Objetivo Estratégico: </w:t>
            </w:r>
            <w:r w:rsidRPr="003A099C">
              <w:rPr>
                <w:rFonts w:eastAsia="Times New Roman" w:cs="Calibri"/>
                <w:b w:val="0"/>
                <w:color w:val="000000"/>
                <w:sz w:val="24"/>
                <w:szCs w:val="24"/>
              </w:rPr>
              <w:t>OE2. Mejorar la calidad de la gestión institucional del INAZUCAR de cara al cumplimiento de su mandato legal.</w:t>
            </w:r>
          </w:p>
        </w:tc>
        <w:tc>
          <w:tcPr>
            <w:tcW w:w="4111" w:type="dxa"/>
            <w:tcBorders>
              <w:top w:val="nil"/>
              <w:left w:val="nil"/>
              <w:bottom w:val="single" w:sz="8" w:space="0" w:color="auto"/>
              <w:right w:val="single" w:sz="8" w:space="0" w:color="auto"/>
            </w:tcBorders>
            <w:shd w:val="clear" w:color="auto" w:fill="auto"/>
            <w:vAlign w:val="center"/>
            <w:hideMark/>
          </w:tcPr>
          <w:p w:rsidR="003A099C" w:rsidRPr="003A099C" w:rsidRDefault="003A099C" w:rsidP="003A099C">
            <w:pPr>
              <w:spacing w:after="0" w:line="360" w:lineRule="auto"/>
              <w:rPr>
                <w:rFonts w:eastAsia="Times New Roman" w:cs="Calibri"/>
                <w:b w:val="0"/>
                <w:color w:val="000000"/>
                <w:sz w:val="24"/>
                <w:szCs w:val="24"/>
              </w:rPr>
            </w:pPr>
            <w:r w:rsidRPr="003A099C">
              <w:rPr>
                <w:rFonts w:eastAsia="Times New Roman" w:cs="Calibri"/>
                <w:bCs/>
                <w:color w:val="000000"/>
                <w:sz w:val="24"/>
                <w:szCs w:val="24"/>
              </w:rPr>
              <w:t>Valor:</w:t>
            </w:r>
            <w:r w:rsidRPr="003A099C">
              <w:rPr>
                <w:rFonts w:eastAsia="Times New Roman" w:cs="Calibri"/>
                <w:b w:val="0"/>
                <w:color w:val="000000"/>
                <w:sz w:val="24"/>
                <w:szCs w:val="24"/>
              </w:rPr>
              <w:t xml:space="preserve"> 98%</w:t>
            </w:r>
          </w:p>
        </w:tc>
      </w:tr>
      <w:tr w:rsidR="003A099C" w:rsidRPr="003A099C" w:rsidTr="003E7B3E">
        <w:trPr>
          <w:trHeight w:val="600"/>
          <w:jc w:val="center"/>
        </w:trPr>
        <w:tc>
          <w:tcPr>
            <w:tcW w:w="87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A099C" w:rsidRPr="003A099C" w:rsidRDefault="003A099C" w:rsidP="003A099C">
            <w:pPr>
              <w:spacing w:after="0" w:line="360" w:lineRule="auto"/>
              <w:rPr>
                <w:rFonts w:eastAsia="Times New Roman" w:cs="Calibri"/>
                <w:b w:val="0"/>
                <w:color w:val="000000"/>
                <w:sz w:val="24"/>
                <w:szCs w:val="24"/>
              </w:rPr>
            </w:pPr>
            <w:r w:rsidRPr="003A099C">
              <w:rPr>
                <w:rFonts w:eastAsia="Times New Roman" w:cs="Calibri"/>
                <w:bCs/>
                <w:color w:val="000000"/>
                <w:sz w:val="24"/>
                <w:szCs w:val="24"/>
              </w:rPr>
              <w:t>Descripción del Indicador:</w:t>
            </w:r>
            <w:r w:rsidRPr="003A099C">
              <w:rPr>
                <w:rFonts w:eastAsia="Times New Roman" w:cs="Calibri"/>
                <w:b w:val="0"/>
                <w:color w:val="000000"/>
                <w:sz w:val="24"/>
                <w:szCs w:val="24"/>
              </w:rPr>
              <w:t xml:space="preserve"> Niveles de capacidades del personal del INAZUCAR, de acuerdo con sus funciones al 2024.</w:t>
            </w:r>
          </w:p>
        </w:tc>
      </w:tr>
      <w:tr w:rsidR="003A099C" w:rsidRPr="003A099C" w:rsidTr="003E7B3E">
        <w:trPr>
          <w:trHeight w:val="315"/>
          <w:jc w:val="center"/>
        </w:trPr>
        <w:tc>
          <w:tcPr>
            <w:tcW w:w="87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A099C" w:rsidRPr="003A099C" w:rsidRDefault="003A099C" w:rsidP="003A099C">
            <w:pPr>
              <w:spacing w:after="0" w:line="360" w:lineRule="auto"/>
              <w:jc w:val="center"/>
              <w:rPr>
                <w:rFonts w:eastAsia="Times New Roman" w:cs="Calibri"/>
                <w:bCs/>
                <w:color w:val="000000"/>
                <w:sz w:val="24"/>
                <w:szCs w:val="24"/>
              </w:rPr>
            </w:pPr>
            <w:r w:rsidRPr="003A099C">
              <w:rPr>
                <w:rFonts w:eastAsia="Times New Roman" w:cs="Calibri"/>
                <w:bCs/>
                <w:color w:val="000000"/>
                <w:sz w:val="24"/>
                <w:szCs w:val="24"/>
              </w:rPr>
              <w:t>Característica del Indicador</w:t>
            </w:r>
          </w:p>
        </w:tc>
      </w:tr>
      <w:tr w:rsidR="003A099C" w:rsidRPr="003A099C" w:rsidTr="003E7B3E">
        <w:trPr>
          <w:trHeight w:val="315"/>
          <w:jc w:val="center"/>
        </w:trPr>
        <w:tc>
          <w:tcPr>
            <w:tcW w:w="87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A099C" w:rsidRPr="003A099C" w:rsidRDefault="003A099C" w:rsidP="003A099C">
            <w:pPr>
              <w:spacing w:after="0" w:line="360" w:lineRule="auto"/>
              <w:rPr>
                <w:rFonts w:eastAsia="Times New Roman" w:cs="Calibri"/>
                <w:b w:val="0"/>
                <w:color w:val="000000"/>
                <w:sz w:val="24"/>
                <w:szCs w:val="24"/>
              </w:rPr>
            </w:pPr>
            <w:r w:rsidRPr="003A099C">
              <w:rPr>
                <w:rFonts w:eastAsia="Times New Roman" w:cs="Calibri"/>
                <w:bCs/>
                <w:color w:val="000000"/>
                <w:sz w:val="24"/>
                <w:szCs w:val="24"/>
              </w:rPr>
              <w:t>Clasificación:</w:t>
            </w:r>
            <w:r w:rsidRPr="003A099C">
              <w:rPr>
                <w:rFonts w:eastAsia="Times New Roman" w:cs="Calibri"/>
                <w:b w:val="0"/>
                <w:color w:val="000000"/>
                <w:sz w:val="24"/>
                <w:szCs w:val="24"/>
              </w:rPr>
              <w:t xml:space="preserve"> Calidad</w:t>
            </w:r>
          </w:p>
        </w:tc>
      </w:tr>
      <w:tr w:rsidR="003A099C" w:rsidRPr="003A099C" w:rsidTr="003E7B3E">
        <w:trPr>
          <w:trHeight w:val="525"/>
          <w:jc w:val="center"/>
        </w:trPr>
        <w:tc>
          <w:tcPr>
            <w:tcW w:w="4668" w:type="dxa"/>
            <w:tcBorders>
              <w:top w:val="nil"/>
              <w:left w:val="single" w:sz="8" w:space="0" w:color="auto"/>
              <w:bottom w:val="single" w:sz="8" w:space="0" w:color="auto"/>
              <w:right w:val="single" w:sz="8" w:space="0" w:color="auto"/>
            </w:tcBorders>
            <w:shd w:val="clear" w:color="auto" w:fill="auto"/>
            <w:vAlign w:val="center"/>
            <w:hideMark/>
          </w:tcPr>
          <w:p w:rsidR="003A099C" w:rsidRPr="003A099C" w:rsidRDefault="003A099C" w:rsidP="003A099C">
            <w:pPr>
              <w:spacing w:after="0" w:line="360" w:lineRule="auto"/>
              <w:rPr>
                <w:rFonts w:eastAsia="Times New Roman" w:cs="Calibri"/>
                <w:b w:val="0"/>
                <w:color w:val="000000"/>
                <w:sz w:val="24"/>
                <w:szCs w:val="24"/>
              </w:rPr>
            </w:pPr>
            <w:r w:rsidRPr="003A099C">
              <w:rPr>
                <w:rFonts w:eastAsia="Times New Roman" w:cs="Calibri"/>
                <w:bCs/>
                <w:color w:val="000000"/>
                <w:sz w:val="24"/>
                <w:szCs w:val="24"/>
              </w:rPr>
              <w:t>Frecuencia de medición:</w:t>
            </w:r>
            <w:r w:rsidRPr="003A099C">
              <w:rPr>
                <w:rFonts w:eastAsia="Times New Roman" w:cs="Calibri"/>
                <w:b w:val="0"/>
                <w:color w:val="000000"/>
                <w:sz w:val="24"/>
                <w:szCs w:val="24"/>
              </w:rPr>
              <w:t xml:space="preserve"> Anual</w:t>
            </w:r>
          </w:p>
        </w:tc>
        <w:tc>
          <w:tcPr>
            <w:tcW w:w="4111" w:type="dxa"/>
            <w:tcBorders>
              <w:top w:val="nil"/>
              <w:left w:val="nil"/>
              <w:bottom w:val="single" w:sz="8" w:space="0" w:color="auto"/>
              <w:right w:val="single" w:sz="8" w:space="0" w:color="auto"/>
            </w:tcBorders>
            <w:shd w:val="clear" w:color="auto" w:fill="auto"/>
            <w:vAlign w:val="center"/>
            <w:hideMark/>
          </w:tcPr>
          <w:p w:rsidR="003A099C" w:rsidRPr="003A099C" w:rsidRDefault="003A099C" w:rsidP="003A099C">
            <w:pPr>
              <w:spacing w:after="0" w:line="360" w:lineRule="auto"/>
              <w:rPr>
                <w:rFonts w:eastAsia="Times New Roman" w:cs="Calibri"/>
                <w:b w:val="0"/>
                <w:color w:val="000000"/>
                <w:sz w:val="24"/>
                <w:szCs w:val="24"/>
              </w:rPr>
            </w:pPr>
            <w:r w:rsidRPr="003A099C">
              <w:rPr>
                <w:rFonts w:eastAsia="Times New Roman" w:cs="Calibri"/>
                <w:bCs/>
                <w:color w:val="000000"/>
                <w:sz w:val="24"/>
                <w:szCs w:val="24"/>
              </w:rPr>
              <w:t xml:space="preserve">Unidad de Medida: </w:t>
            </w:r>
            <w:r w:rsidRPr="003A099C">
              <w:rPr>
                <w:rFonts w:eastAsia="Times New Roman" w:cs="Calibri"/>
                <w:b w:val="0"/>
                <w:color w:val="000000"/>
                <w:sz w:val="24"/>
                <w:szCs w:val="24"/>
              </w:rPr>
              <w:t>Porcentaje</w:t>
            </w:r>
          </w:p>
        </w:tc>
      </w:tr>
      <w:tr w:rsidR="003A099C" w:rsidRPr="003A099C" w:rsidTr="003E7B3E">
        <w:trPr>
          <w:trHeight w:val="315"/>
          <w:jc w:val="center"/>
        </w:trPr>
        <w:tc>
          <w:tcPr>
            <w:tcW w:w="87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A099C" w:rsidRPr="003A099C" w:rsidRDefault="003A099C" w:rsidP="003A099C">
            <w:pPr>
              <w:spacing w:after="0" w:line="360" w:lineRule="auto"/>
              <w:jc w:val="center"/>
              <w:rPr>
                <w:rFonts w:eastAsia="Times New Roman" w:cs="Calibri"/>
                <w:bCs/>
                <w:color w:val="000000"/>
                <w:sz w:val="24"/>
                <w:szCs w:val="24"/>
              </w:rPr>
            </w:pPr>
            <w:r w:rsidRPr="003A099C">
              <w:rPr>
                <w:rFonts w:eastAsia="Times New Roman" w:cs="Calibri"/>
                <w:bCs/>
                <w:color w:val="000000"/>
                <w:sz w:val="24"/>
                <w:szCs w:val="24"/>
              </w:rPr>
              <w:t>Calculo y especificación de datos</w:t>
            </w:r>
          </w:p>
        </w:tc>
      </w:tr>
      <w:tr w:rsidR="003A099C" w:rsidRPr="003A099C" w:rsidTr="003E7B3E">
        <w:trPr>
          <w:trHeight w:val="315"/>
          <w:jc w:val="center"/>
        </w:trPr>
        <w:tc>
          <w:tcPr>
            <w:tcW w:w="87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A099C" w:rsidRPr="003A099C" w:rsidRDefault="003A099C" w:rsidP="003A099C">
            <w:pPr>
              <w:spacing w:after="0" w:line="360" w:lineRule="auto"/>
              <w:rPr>
                <w:rFonts w:eastAsia="Times New Roman" w:cs="Calibri"/>
                <w:b w:val="0"/>
                <w:color w:val="000000"/>
                <w:sz w:val="24"/>
                <w:szCs w:val="24"/>
              </w:rPr>
            </w:pPr>
            <w:r w:rsidRPr="003A099C">
              <w:rPr>
                <w:rFonts w:eastAsia="Times New Roman" w:cs="Calibri"/>
                <w:bCs/>
                <w:color w:val="000000"/>
                <w:sz w:val="24"/>
                <w:szCs w:val="24"/>
              </w:rPr>
              <w:t>Fórmula de cálculo:</w:t>
            </w:r>
            <w:r w:rsidRPr="003A099C">
              <w:rPr>
                <w:rFonts w:eastAsia="Times New Roman" w:cs="Calibri"/>
                <w:b w:val="0"/>
                <w:color w:val="000000"/>
                <w:sz w:val="24"/>
                <w:szCs w:val="24"/>
              </w:rPr>
              <w:t xml:space="preserve"> NC=CP/CR</w:t>
            </w:r>
          </w:p>
        </w:tc>
      </w:tr>
      <w:tr w:rsidR="003A099C" w:rsidRPr="003A099C" w:rsidTr="003E7B3E">
        <w:trPr>
          <w:trHeight w:val="315"/>
          <w:jc w:val="center"/>
        </w:trPr>
        <w:tc>
          <w:tcPr>
            <w:tcW w:w="87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A099C" w:rsidRPr="003A099C" w:rsidRDefault="003A099C" w:rsidP="003A099C">
            <w:pPr>
              <w:spacing w:after="0" w:line="360" w:lineRule="auto"/>
              <w:rPr>
                <w:rFonts w:eastAsia="Times New Roman" w:cs="Calibri"/>
                <w:b w:val="0"/>
                <w:color w:val="000000"/>
                <w:sz w:val="24"/>
                <w:szCs w:val="24"/>
              </w:rPr>
            </w:pPr>
            <w:r w:rsidRPr="003A099C">
              <w:rPr>
                <w:rFonts w:eastAsia="Times New Roman" w:cs="Calibri"/>
                <w:bCs/>
                <w:color w:val="000000"/>
                <w:sz w:val="24"/>
                <w:szCs w:val="24"/>
              </w:rPr>
              <w:t>Desagregación demográfica y geográfica:</w:t>
            </w:r>
            <w:r w:rsidRPr="003A099C">
              <w:rPr>
                <w:rFonts w:eastAsia="Times New Roman" w:cs="Calibri"/>
                <w:b w:val="0"/>
                <w:color w:val="000000"/>
                <w:sz w:val="24"/>
                <w:szCs w:val="24"/>
              </w:rPr>
              <w:t xml:space="preserve"> N/A</w:t>
            </w:r>
          </w:p>
        </w:tc>
      </w:tr>
      <w:tr w:rsidR="003A099C" w:rsidRPr="003A099C" w:rsidTr="003E7B3E">
        <w:trPr>
          <w:trHeight w:val="615"/>
          <w:jc w:val="center"/>
        </w:trPr>
        <w:tc>
          <w:tcPr>
            <w:tcW w:w="87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A099C" w:rsidRPr="003A099C" w:rsidRDefault="003A099C" w:rsidP="003A099C">
            <w:pPr>
              <w:spacing w:after="0" w:line="360" w:lineRule="auto"/>
              <w:jc w:val="left"/>
              <w:rPr>
                <w:rFonts w:eastAsia="Times New Roman" w:cs="Calibri"/>
                <w:b w:val="0"/>
                <w:color w:val="000000"/>
                <w:sz w:val="24"/>
                <w:szCs w:val="24"/>
              </w:rPr>
            </w:pPr>
            <w:r w:rsidRPr="003A099C">
              <w:rPr>
                <w:rFonts w:eastAsia="Times New Roman" w:cs="Calibri"/>
                <w:bCs/>
                <w:color w:val="000000"/>
                <w:sz w:val="24"/>
                <w:szCs w:val="24"/>
              </w:rPr>
              <w:t>Fuente del dato:</w:t>
            </w:r>
            <w:r w:rsidRPr="003A099C">
              <w:rPr>
                <w:rFonts w:eastAsia="Times New Roman" w:cs="Calibri"/>
                <w:b w:val="0"/>
                <w:color w:val="000000"/>
                <w:sz w:val="24"/>
                <w:szCs w:val="24"/>
              </w:rPr>
              <w:t xml:space="preserve"> División de Planificación y Desarrollo del INAZUCAR, División de Recursos Humanos, MAP.</w:t>
            </w:r>
          </w:p>
        </w:tc>
      </w:tr>
      <w:tr w:rsidR="003A099C" w:rsidRPr="003A099C" w:rsidTr="003E7B3E">
        <w:trPr>
          <w:trHeight w:val="810"/>
          <w:jc w:val="center"/>
        </w:trPr>
        <w:tc>
          <w:tcPr>
            <w:tcW w:w="87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A099C" w:rsidRPr="003A099C" w:rsidRDefault="003A099C" w:rsidP="003A099C">
            <w:pPr>
              <w:spacing w:after="0" w:line="360" w:lineRule="auto"/>
              <w:rPr>
                <w:rFonts w:eastAsia="Times New Roman" w:cs="Calibri"/>
                <w:b w:val="0"/>
                <w:color w:val="000000"/>
                <w:sz w:val="24"/>
                <w:szCs w:val="24"/>
              </w:rPr>
            </w:pPr>
            <w:r w:rsidRPr="003A099C">
              <w:rPr>
                <w:rFonts w:eastAsia="Times New Roman" w:cs="Calibri"/>
                <w:bCs/>
                <w:color w:val="000000"/>
                <w:sz w:val="24"/>
                <w:szCs w:val="24"/>
              </w:rPr>
              <w:t>Observaciones:</w:t>
            </w:r>
            <w:r w:rsidRPr="003A099C">
              <w:rPr>
                <w:rFonts w:eastAsia="Times New Roman" w:cs="Calibri"/>
                <w:b w:val="0"/>
                <w:color w:val="000000"/>
                <w:sz w:val="24"/>
                <w:szCs w:val="24"/>
              </w:rPr>
              <w:t xml:space="preserve"> Lectura de la fórmula de cálculo: NC: Nivel de Capacidad; CP: Capacidad del Personal: CR: Capacidad Requerida</w:t>
            </w:r>
          </w:p>
        </w:tc>
      </w:tr>
    </w:tbl>
    <w:p w:rsidR="00D10B4E" w:rsidRDefault="00D10B4E" w:rsidP="007B0D80"/>
    <w:p w:rsidR="007B0D80" w:rsidRDefault="007B0D80"/>
    <w:p w:rsidR="003A099C" w:rsidRDefault="003A099C"/>
    <w:p w:rsidR="003A099C" w:rsidRDefault="003A099C"/>
    <w:p w:rsidR="003A099C" w:rsidRDefault="003A099C"/>
    <w:tbl>
      <w:tblPr>
        <w:tblW w:w="8779" w:type="dxa"/>
        <w:jc w:val="center"/>
        <w:tblLook w:val="04A0"/>
      </w:tblPr>
      <w:tblGrid>
        <w:gridCol w:w="4668"/>
        <w:gridCol w:w="4111"/>
      </w:tblGrid>
      <w:tr w:rsidR="003A099C" w:rsidRPr="003A099C" w:rsidTr="003E7B3E">
        <w:trPr>
          <w:trHeight w:val="315"/>
          <w:jc w:val="center"/>
        </w:trPr>
        <w:tc>
          <w:tcPr>
            <w:tcW w:w="87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A099C" w:rsidRPr="003A099C" w:rsidRDefault="003A099C" w:rsidP="003A099C">
            <w:pPr>
              <w:spacing w:after="0" w:line="360" w:lineRule="auto"/>
              <w:jc w:val="center"/>
              <w:rPr>
                <w:rFonts w:eastAsia="Times New Roman" w:cs="Calibri"/>
                <w:bCs/>
                <w:color w:val="000000"/>
                <w:sz w:val="24"/>
                <w:szCs w:val="24"/>
              </w:rPr>
            </w:pPr>
            <w:r w:rsidRPr="003A099C">
              <w:rPr>
                <w:rFonts w:eastAsia="Times New Roman" w:cs="Calibri"/>
                <w:bCs/>
                <w:color w:val="000000"/>
                <w:sz w:val="24"/>
                <w:szCs w:val="24"/>
              </w:rPr>
              <w:lastRenderedPageBreak/>
              <w:t>Tabla No. X</w:t>
            </w:r>
            <w:r>
              <w:rPr>
                <w:rFonts w:eastAsia="Times New Roman" w:cs="Calibri"/>
                <w:bCs/>
                <w:color w:val="000000"/>
                <w:sz w:val="24"/>
                <w:szCs w:val="24"/>
              </w:rPr>
              <w:t>I</w:t>
            </w:r>
            <w:r w:rsidRPr="003A099C">
              <w:rPr>
                <w:rFonts w:eastAsia="Times New Roman" w:cs="Calibri"/>
                <w:bCs/>
                <w:color w:val="000000"/>
                <w:sz w:val="24"/>
                <w:szCs w:val="24"/>
              </w:rPr>
              <w:t>: Ficha del Indicador 2.3. Transparencia y Rendición de Cuentas.</w:t>
            </w:r>
          </w:p>
        </w:tc>
      </w:tr>
      <w:tr w:rsidR="003A099C" w:rsidRPr="003A099C" w:rsidTr="003E7B3E">
        <w:trPr>
          <w:trHeight w:val="315"/>
          <w:jc w:val="center"/>
        </w:trPr>
        <w:tc>
          <w:tcPr>
            <w:tcW w:w="87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A099C" w:rsidRPr="003A099C" w:rsidRDefault="003A099C" w:rsidP="003A099C">
            <w:pPr>
              <w:spacing w:after="0" w:line="360" w:lineRule="auto"/>
              <w:jc w:val="center"/>
              <w:rPr>
                <w:rFonts w:eastAsia="Times New Roman" w:cs="Calibri"/>
                <w:bCs/>
                <w:color w:val="000000"/>
                <w:sz w:val="24"/>
                <w:szCs w:val="24"/>
              </w:rPr>
            </w:pPr>
            <w:r w:rsidRPr="003A099C">
              <w:rPr>
                <w:rFonts w:eastAsia="Times New Roman" w:cs="Calibri"/>
                <w:bCs/>
                <w:color w:val="000000"/>
                <w:sz w:val="24"/>
                <w:szCs w:val="24"/>
              </w:rPr>
              <w:t>Información General del Indicador:</w:t>
            </w:r>
          </w:p>
        </w:tc>
      </w:tr>
      <w:tr w:rsidR="003A099C" w:rsidRPr="003A099C" w:rsidTr="003E7B3E">
        <w:trPr>
          <w:trHeight w:val="300"/>
          <w:jc w:val="center"/>
        </w:trPr>
        <w:tc>
          <w:tcPr>
            <w:tcW w:w="4668" w:type="dxa"/>
            <w:vMerge w:val="restart"/>
            <w:tcBorders>
              <w:top w:val="nil"/>
              <w:left w:val="single" w:sz="8" w:space="0" w:color="auto"/>
              <w:bottom w:val="single" w:sz="8" w:space="0" w:color="000000"/>
              <w:right w:val="single" w:sz="8" w:space="0" w:color="auto"/>
            </w:tcBorders>
            <w:shd w:val="clear" w:color="auto" w:fill="auto"/>
            <w:vAlign w:val="center"/>
            <w:hideMark/>
          </w:tcPr>
          <w:p w:rsidR="003A099C" w:rsidRPr="003A099C" w:rsidRDefault="003A099C" w:rsidP="003A099C">
            <w:pPr>
              <w:spacing w:after="0" w:line="360" w:lineRule="auto"/>
              <w:rPr>
                <w:rFonts w:eastAsia="Times New Roman" w:cs="Calibri"/>
                <w:b w:val="0"/>
                <w:color w:val="000000"/>
                <w:sz w:val="24"/>
                <w:szCs w:val="24"/>
              </w:rPr>
            </w:pPr>
            <w:r w:rsidRPr="003A099C">
              <w:rPr>
                <w:rFonts w:eastAsia="Times New Roman" w:cs="Calibri"/>
                <w:bCs/>
                <w:color w:val="000000"/>
                <w:sz w:val="24"/>
                <w:szCs w:val="24"/>
              </w:rPr>
              <w:t>Nombre del indicador:</w:t>
            </w:r>
            <w:r w:rsidRPr="003A099C">
              <w:rPr>
                <w:rFonts w:eastAsia="Times New Roman" w:cs="Calibri"/>
                <w:b w:val="0"/>
                <w:color w:val="000000"/>
                <w:sz w:val="24"/>
                <w:szCs w:val="24"/>
              </w:rPr>
              <w:t xml:space="preserve"> 2.3. Transparencia y Rendición de Cuentas.</w:t>
            </w:r>
          </w:p>
        </w:tc>
        <w:tc>
          <w:tcPr>
            <w:tcW w:w="4111" w:type="dxa"/>
            <w:tcBorders>
              <w:top w:val="nil"/>
              <w:left w:val="nil"/>
              <w:bottom w:val="nil"/>
              <w:right w:val="single" w:sz="8" w:space="0" w:color="auto"/>
            </w:tcBorders>
            <w:shd w:val="clear" w:color="auto" w:fill="auto"/>
            <w:vAlign w:val="center"/>
            <w:hideMark/>
          </w:tcPr>
          <w:p w:rsidR="003A099C" w:rsidRPr="003A099C" w:rsidRDefault="003A099C" w:rsidP="003A099C">
            <w:pPr>
              <w:spacing w:after="0" w:line="360" w:lineRule="auto"/>
              <w:rPr>
                <w:rFonts w:eastAsia="Times New Roman" w:cs="Calibri"/>
                <w:b w:val="0"/>
                <w:color w:val="000000"/>
                <w:sz w:val="24"/>
                <w:szCs w:val="24"/>
              </w:rPr>
            </w:pPr>
            <w:r w:rsidRPr="003A099C">
              <w:rPr>
                <w:rFonts w:eastAsia="Times New Roman" w:cs="Calibri"/>
                <w:b w:val="0"/>
                <w:color w:val="000000"/>
                <w:sz w:val="24"/>
                <w:szCs w:val="24"/>
              </w:rPr>
              <w:t xml:space="preserve">Línea Base </w:t>
            </w:r>
          </w:p>
        </w:tc>
      </w:tr>
      <w:tr w:rsidR="003A099C" w:rsidRPr="003A099C" w:rsidTr="003E7B3E">
        <w:trPr>
          <w:trHeight w:val="300"/>
          <w:jc w:val="center"/>
        </w:trPr>
        <w:tc>
          <w:tcPr>
            <w:tcW w:w="4668" w:type="dxa"/>
            <w:vMerge/>
            <w:tcBorders>
              <w:top w:val="nil"/>
              <w:left w:val="single" w:sz="8" w:space="0" w:color="auto"/>
              <w:bottom w:val="single" w:sz="8" w:space="0" w:color="000000"/>
              <w:right w:val="single" w:sz="8" w:space="0" w:color="auto"/>
            </w:tcBorders>
            <w:vAlign w:val="center"/>
            <w:hideMark/>
          </w:tcPr>
          <w:p w:rsidR="003A099C" w:rsidRPr="003A099C" w:rsidRDefault="003A099C" w:rsidP="003A099C">
            <w:pPr>
              <w:spacing w:after="0" w:line="360" w:lineRule="auto"/>
              <w:jc w:val="left"/>
              <w:rPr>
                <w:rFonts w:eastAsia="Times New Roman" w:cs="Calibri"/>
                <w:b w:val="0"/>
                <w:color w:val="000000"/>
                <w:sz w:val="24"/>
                <w:szCs w:val="24"/>
              </w:rPr>
            </w:pPr>
          </w:p>
        </w:tc>
        <w:tc>
          <w:tcPr>
            <w:tcW w:w="4111" w:type="dxa"/>
            <w:tcBorders>
              <w:top w:val="nil"/>
              <w:left w:val="nil"/>
              <w:bottom w:val="nil"/>
              <w:right w:val="single" w:sz="8" w:space="0" w:color="auto"/>
            </w:tcBorders>
            <w:shd w:val="clear" w:color="auto" w:fill="auto"/>
            <w:vAlign w:val="center"/>
            <w:hideMark/>
          </w:tcPr>
          <w:p w:rsidR="003A099C" w:rsidRPr="003A099C" w:rsidRDefault="003A099C" w:rsidP="003A099C">
            <w:pPr>
              <w:spacing w:after="0" w:line="360" w:lineRule="auto"/>
              <w:rPr>
                <w:rFonts w:eastAsia="Times New Roman" w:cs="Calibri"/>
                <w:b w:val="0"/>
                <w:color w:val="000000"/>
                <w:sz w:val="24"/>
                <w:szCs w:val="24"/>
              </w:rPr>
            </w:pPr>
            <w:r w:rsidRPr="003A099C">
              <w:rPr>
                <w:rFonts w:eastAsia="Times New Roman" w:cs="Calibri"/>
                <w:b w:val="0"/>
                <w:color w:val="000000"/>
                <w:sz w:val="24"/>
                <w:szCs w:val="24"/>
              </w:rPr>
              <w:t>Año: 2020</w:t>
            </w:r>
          </w:p>
        </w:tc>
      </w:tr>
      <w:tr w:rsidR="003A099C" w:rsidRPr="003A099C" w:rsidTr="003E7B3E">
        <w:trPr>
          <w:trHeight w:val="315"/>
          <w:jc w:val="center"/>
        </w:trPr>
        <w:tc>
          <w:tcPr>
            <w:tcW w:w="4668" w:type="dxa"/>
            <w:vMerge/>
            <w:tcBorders>
              <w:top w:val="nil"/>
              <w:left w:val="single" w:sz="8" w:space="0" w:color="auto"/>
              <w:bottom w:val="single" w:sz="8" w:space="0" w:color="000000"/>
              <w:right w:val="single" w:sz="8" w:space="0" w:color="auto"/>
            </w:tcBorders>
            <w:vAlign w:val="center"/>
            <w:hideMark/>
          </w:tcPr>
          <w:p w:rsidR="003A099C" w:rsidRPr="003A099C" w:rsidRDefault="003A099C" w:rsidP="003A099C">
            <w:pPr>
              <w:spacing w:after="0" w:line="360" w:lineRule="auto"/>
              <w:jc w:val="left"/>
              <w:rPr>
                <w:rFonts w:eastAsia="Times New Roman" w:cs="Calibri"/>
                <w:b w:val="0"/>
                <w:color w:val="000000"/>
                <w:sz w:val="24"/>
                <w:szCs w:val="24"/>
              </w:rPr>
            </w:pPr>
          </w:p>
        </w:tc>
        <w:tc>
          <w:tcPr>
            <w:tcW w:w="4111" w:type="dxa"/>
            <w:tcBorders>
              <w:top w:val="nil"/>
              <w:left w:val="nil"/>
              <w:bottom w:val="single" w:sz="8" w:space="0" w:color="auto"/>
              <w:right w:val="single" w:sz="8" w:space="0" w:color="auto"/>
            </w:tcBorders>
            <w:shd w:val="clear" w:color="auto" w:fill="auto"/>
            <w:vAlign w:val="center"/>
            <w:hideMark/>
          </w:tcPr>
          <w:p w:rsidR="003A099C" w:rsidRPr="003A099C" w:rsidRDefault="003A099C" w:rsidP="003A099C">
            <w:pPr>
              <w:spacing w:after="0" w:line="360" w:lineRule="auto"/>
              <w:rPr>
                <w:rFonts w:eastAsia="Times New Roman" w:cs="Calibri"/>
                <w:b w:val="0"/>
                <w:color w:val="000000"/>
                <w:sz w:val="24"/>
                <w:szCs w:val="24"/>
              </w:rPr>
            </w:pPr>
            <w:r w:rsidRPr="003A099C">
              <w:rPr>
                <w:rFonts w:eastAsia="Times New Roman" w:cs="Calibri"/>
                <w:b w:val="0"/>
                <w:color w:val="000000"/>
                <w:sz w:val="24"/>
                <w:szCs w:val="24"/>
              </w:rPr>
              <w:t>Valor: 10%</w:t>
            </w:r>
          </w:p>
        </w:tc>
      </w:tr>
      <w:tr w:rsidR="003A099C" w:rsidRPr="003A099C" w:rsidTr="003E7B3E">
        <w:trPr>
          <w:trHeight w:val="765"/>
          <w:jc w:val="center"/>
        </w:trPr>
        <w:tc>
          <w:tcPr>
            <w:tcW w:w="4668" w:type="dxa"/>
            <w:tcBorders>
              <w:top w:val="nil"/>
              <w:left w:val="single" w:sz="8" w:space="0" w:color="auto"/>
              <w:bottom w:val="nil"/>
              <w:right w:val="single" w:sz="8" w:space="0" w:color="auto"/>
            </w:tcBorders>
            <w:shd w:val="clear" w:color="auto" w:fill="auto"/>
            <w:vAlign w:val="center"/>
            <w:hideMark/>
          </w:tcPr>
          <w:p w:rsidR="003A099C" w:rsidRPr="003A099C" w:rsidRDefault="003A099C" w:rsidP="003A099C">
            <w:pPr>
              <w:spacing w:after="0" w:line="360" w:lineRule="auto"/>
              <w:rPr>
                <w:rFonts w:eastAsia="Times New Roman" w:cs="Calibri"/>
                <w:b w:val="0"/>
                <w:color w:val="000000"/>
                <w:sz w:val="24"/>
                <w:szCs w:val="24"/>
              </w:rPr>
            </w:pPr>
            <w:r w:rsidRPr="003A099C">
              <w:rPr>
                <w:rFonts w:eastAsia="Times New Roman" w:cs="Calibri"/>
                <w:bCs/>
                <w:color w:val="000000"/>
                <w:sz w:val="24"/>
                <w:szCs w:val="24"/>
              </w:rPr>
              <w:t>Eje Estratégico</w:t>
            </w:r>
            <w:r w:rsidRPr="003A099C">
              <w:rPr>
                <w:rFonts w:eastAsia="Times New Roman" w:cs="Calibri"/>
                <w:b w:val="0"/>
                <w:color w:val="000000"/>
                <w:sz w:val="24"/>
                <w:szCs w:val="24"/>
              </w:rPr>
              <w:t>: No. 2: Calidad de la Gestión Institucional.</w:t>
            </w:r>
          </w:p>
        </w:tc>
        <w:tc>
          <w:tcPr>
            <w:tcW w:w="4111" w:type="dxa"/>
            <w:tcBorders>
              <w:top w:val="nil"/>
              <w:left w:val="nil"/>
              <w:bottom w:val="nil"/>
              <w:right w:val="single" w:sz="8" w:space="0" w:color="auto"/>
            </w:tcBorders>
            <w:shd w:val="clear" w:color="auto" w:fill="auto"/>
            <w:vAlign w:val="center"/>
            <w:hideMark/>
          </w:tcPr>
          <w:p w:rsidR="003A099C" w:rsidRPr="003A099C" w:rsidRDefault="003A099C" w:rsidP="003A099C">
            <w:pPr>
              <w:spacing w:after="0" w:line="360" w:lineRule="auto"/>
              <w:rPr>
                <w:rFonts w:eastAsia="Times New Roman" w:cs="Calibri"/>
                <w:bCs/>
                <w:color w:val="000000"/>
                <w:sz w:val="24"/>
                <w:szCs w:val="24"/>
              </w:rPr>
            </w:pPr>
            <w:r w:rsidRPr="003A099C">
              <w:rPr>
                <w:rFonts w:eastAsia="Times New Roman" w:cs="Calibri"/>
                <w:bCs/>
                <w:color w:val="000000"/>
                <w:sz w:val="24"/>
                <w:szCs w:val="24"/>
              </w:rPr>
              <w:t>Meta</w:t>
            </w:r>
          </w:p>
        </w:tc>
      </w:tr>
      <w:tr w:rsidR="003A099C" w:rsidRPr="003A099C" w:rsidTr="003E7B3E">
        <w:trPr>
          <w:trHeight w:val="300"/>
          <w:jc w:val="center"/>
        </w:trPr>
        <w:tc>
          <w:tcPr>
            <w:tcW w:w="4668" w:type="dxa"/>
            <w:tcBorders>
              <w:top w:val="nil"/>
              <w:left w:val="single" w:sz="8" w:space="0" w:color="auto"/>
              <w:bottom w:val="nil"/>
              <w:right w:val="single" w:sz="8" w:space="0" w:color="auto"/>
            </w:tcBorders>
            <w:shd w:val="clear" w:color="auto" w:fill="auto"/>
            <w:vAlign w:val="center"/>
            <w:hideMark/>
          </w:tcPr>
          <w:p w:rsidR="003A099C" w:rsidRPr="003A099C" w:rsidRDefault="003A099C" w:rsidP="003A099C">
            <w:pPr>
              <w:spacing w:after="0" w:line="360" w:lineRule="auto"/>
              <w:rPr>
                <w:rFonts w:eastAsia="Times New Roman" w:cs="Calibri"/>
                <w:b w:val="0"/>
                <w:color w:val="000000"/>
                <w:sz w:val="24"/>
                <w:szCs w:val="24"/>
              </w:rPr>
            </w:pPr>
            <w:r w:rsidRPr="003A099C">
              <w:rPr>
                <w:rFonts w:eastAsia="Times New Roman" w:cs="Calibri"/>
                <w:bCs/>
                <w:color w:val="000000"/>
                <w:sz w:val="24"/>
                <w:szCs w:val="24"/>
              </w:rPr>
              <w:t>Objetivo Estratégico:</w:t>
            </w:r>
            <w:r w:rsidRPr="003A099C">
              <w:rPr>
                <w:rFonts w:eastAsia="Times New Roman" w:cs="Calibri"/>
                <w:b w:val="0"/>
                <w:color w:val="000000"/>
                <w:sz w:val="24"/>
                <w:szCs w:val="24"/>
              </w:rPr>
              <w:t xml:space="preserve"> OE2. Mejorar la calidad de la gestión institucional del INAZUCAR de cara al cumplimiento de su mandato legal.</w:t>
            </w:r>
          </w:p>
        </w:tc>
        <w:tc>
          <w:tcPr>
            <w:tcW w:w="4111" w:type="dxa"/>
            <w:tcBorders>
              <w:top w:val="nil"/>
              <w:left w:val="nil"/>
              <w:bottom w:val="nil"/>
              <w:right w:val="single" w:sz="8" w:space="0" w:color="auto"/>
            </w:tcBorders>
            <w:shd w:val="clear" w:color="auto" w:fill="auto"/>
            <w:vAlign w:val="center"/>
            <w:hideMark/>
          </w:tcPr>
          <w:p w:rsidR="003A099C" w:rsidRPr="003A099C" w:rsidRDefault="003A099C" w:rsidP="003A099C">
            <w:pPr>
              <w:spacing w:after="0" w:line="360" w:lineRule="auto"/>
              <w:rPr>
                <w:rFonts w:eastAsia="Times New Roman" w:cs="Calibri"/>
                <w:bCs/>
                <w:color w:val="000000"/>
                <w:sz w:val="24"/>
                <w:szCs w:val="24"/>
              </w:rPr>
            </w:pPr>
            <w:r w:rsidRPr="003A099C">
              <w:rPr>
                <w:rFonts w:eastAsia="Times New Roman" w:cs="Calibri"/>
                <w:bCs/>
                <w:color w:val="000000"/>
                <w:sz w:val="24"/>
                <w:szCs w:val="24"/>
              </w:rPr>
              <w:t xml:space="preserve">Año: 2022 </w:t>
            </w:r>
          </w:p>
          <w:p w:rsidR="003A099C" w:rsidRPr="003A099C" w:rsidRDefault="003A099C" w:rsidP="003A099C">
            <w:pPr>
              <w:spacing w:after="0" w:line="360" w:lineRule="auto"/>
              <w:rPr>
                <w:rFonts w:eastAsia="Times New Roman" w:cs="Calibri"/>
                <w:bCs/>
                <w:color w:val="000000"/>
                <w:sz w:val="24"/>
                <w:szCs w:val="24"/>
              </w:rPr>
            </w:pPr>
          </w:p>
          <w:p w:rsidR="003A099C" w:rsidRPr="003A099C" w:rsidRDefault="003A099C" w:rsidP="003A099C">
            <w:pPr>
              <w:spacing w:after="0" w:line="360" w:lineRule="auto"/>
              <w:rPr>
                <w:rFonts w:eastAsia="Times New Roman" w:cs="Calibri"/>
                <w:bCs/>
                <w:color w:val="000000"/>
                <w:sz w:val="24"/>
                <w:szCs w:val="24"/>
              </w:rPr>
            </w:pPr>
            <w:r w:rsidRPr="003A099C">
              <w:rPr>
                <w:rFonts w:eastAsia="Times New Roman" w:cs="Calibri"/>
                <w:bCs/>
                <w:color w:val="000000"/>
                <w:sz w:val="24"/>
                <w:szCs w:val="24"/>
              </w:rPr>
              <w:t>Valor:</w:t>
            </w:r>
            <w:r w:rsidRPr="003A099C">
              <w:rPr>
                <w:rFonts w:eastAsia="Times New Roman" w:cs="Calibri"/>
                <w:b w:val="0"/>
                <w:color w:val="000000"/>
                <w:sz w:val="24"/>
                <w:szCs w:val="24"/>
              </w:rPr>
              <w:t xml:space="preserve"> 100%</w:t>
            </w:r>
          </w:p>
        </w:tc>
      </w:tr>
      <w:tr w:rsidR="003A099C" w:rsidRPr="003A099C" w:rsidTr="003E7B3E">
        <w:trPr>
          <w:trHeight w:val="645"/>
          <w:jc w:val="center"/>
        </w:trPr>
        <w:tc>
          <w:tcPr>
            <w:tcW w:w="87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A099C" w:rsidRPr="003A099C" w:rsidRDefault="003A099C" w:rsidP="003A099C">
            <w:pPr>
              <w:spacing w:after="0" w:line="360" w:lineRule="auto"/>
              <w:rPr>
                <w:rFonts w:eastAsia="Times New Roman" w:cs="Calibri"/>
                <w:b w:val="0"/>
                <w:color w:val="000000"/>
                <w:sz w:val="24"/>
                <w:szCs w:val="24"/>
              </w:rPr>
            </w:pPr>
            <w:r w:rsidRPr="003A099C">
              <w:rPr>
                <w:rFonts w:eastAsia="Times New Roman" w:cs="Calibri"/>
                <w:bCs/>
                <w:color w:val="000000"/>
                <w:sz w:val="24"/>
                <w:szCs w:val="24"/>
              </w:rPr>
              <w:t>Descripción del Indicador:</w:t>
            </w:r>
            <w:r w:rsidRPr="003A099C">
              <w:rPr>
                <w:rFonts w:eastAsia="Times New Roman" w:cs="Calibri"/>
                <w:b w:val="0"/>
                <w:color w:val="000000"/>
                <w:sz w:val="24"/>
                <w:szCs w:val="24"/>
              </w:rPr>
              <w:t xml:space="preserve"> Nivel de transparencia y rendición de cuentas del INAZUCAR al 2022.</w:t>
            </w:r>
          </w:p>
        </w:tc>
      </w:tr>
      <w:tr w:rsidR="003A099C" w:rsidRPr="003A099C" w:rsidTr="003E7B3E">
        <w:trPr>
          <w:trHeight w:val="315"/>
          <w:jc w:val="center"/>
        </w:trPr>
        <w:tc>
          <w:tcPr>
            <w:tcW w:w="87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A099C" w:rsidRPr="003A099C" w:rsidRDefault="003A099C" w:rsidP="003A099C">
            <w:pPr>
              <w:spacing w:after="0" w:line="360" w:lineRule="auto"/>
              <w:jc w:val="center"/>
              <w:rPr>
                <w:rFonts w:eastAsia="Times New Roman" w:cs="Calibri"/>
                <w:bCs/>
                <w:color w:val="000000"/>
                <w:sz w:val="24"/>
                <w:szCs w:val="24"/>
              </w:rPr>
            </w:pPr>
            <w:r w:rsidRPr="003A099C">
              <w:rPr>
                <w:rFonts w:eastAsia="Times New Roman" w:cs="Calibri"/>
                <w:bCs/>
                <w:color w:val="000000"/>
                <w:sz w:val="24"/>
                <w:szCs w:val="24"/>
              </w:rPr>
              <w:t>Característica del Indicador</w:t>
            </w:r>
          </w:p>
        </w:tc>
      </w:tr>
      <w:tr w:rsidR="003A099C" w:rsidRPr="003A099C" w:rsidTr="003E7B3E">
        <w:trPr>
          <w:trHeight w:val="315"/>
          <w:jc w:val="center"/>
        </w:trPr>
        <w:tc>
          <w:tcPr>
            <w:tcW w:w="87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A099C" w:rsidRPr="003A099C" w:rsidRDefault="003A099C" w:rsidP="003A099C">
            <w:pPr>
              <w:spacing w:after="0" w:line="360" w:lineRule="auto"/>
              <w:rPr>
                <w:rFonts w:eastAsia="Times New Roman" w:cs="Calibri"/>
                <w:b w:val="0"/>
                <w:color w:val="000000"/>
                <w:sz w:val="24"/>
                <w:szCs w:val="24"/>
              </w:rPr>
            </w:pPr>
            <w:r w:rsidRPr="003A099C">
              <w:rPr>
                <w:rFonts w:eastAsia="Times New Roman" w:cs="Calibri"/>
                <w:bCs/>
                <w:color w:val="000000"/>
                <w:sz w:val="24"/>
                <w:szCs w:val="24"/>
              </w:rPr>
              <w:t>Clasificación:</w:t>
            </w:r>
            <w:r w:rsidRPr="003A099C">
              <w:rPr>
                <w:rFonts w:eastAsia="Times New Roman" w:cs="Calibri"/>
                <w:b w:val="0"/>
                <w:color w:val="000000"/>
                <w:sz w:val="24"/>
                <w:szCs w:val="24"/>
              </w:rPr>
              <w:t xml:space="preserve"> Eficacia </w:t>
            </w:r>
          </w:p>
        </w:tc>
      </w:tr>
      <w:tr w:rsidR="003A099C" w:rsidRPr="003A099C" w:rsidTr="003E7B3E">
        <w:trPr>
          <w:trHeight w:val="525"/>
          <w:jc w:val="center"/>
        </w:trPr>
        <w:tc>
          <w:tcPr>
            <w:tcW w:w="4668" w:type="dxa"/>
            <w:tcBorders>
              <w:top w:val="nil"/>
              <w:left w:val="single" w:sz="8" w:space="0" w:color="auto"/>
              <w:bottom w:val="single" w:sz="8" w:space="0" w:color="auto"/>
              <w:right w:val="single" w:sz="8" w:space="0" w:color="auto"/>
            </w:tcBorders>
            <w:shd w:val="clear" w:color="auto" w:fill="auto"/>
            <w:vAlign w:val="center"/>
            <w:hideMark/>
          </w:tcPr>
          <w:p w:rsidR="003A099C" w:rsidRPr="003A099C" w:rsidRDefault="003A099C" w:rsidP="003A099C">
            <w:pPr>
              <w:spacing w:after="0" w:line="360" w:lineRule="auto"/>
              <w:rPr>
                <w:rFonts w:eastAsia="Times New Roman" w:cs="Calibri"/>
                <w:b w:val="0"/>
                <w:color w:val="000000"/>
                <w:sz w:val="24"/>
                <w:szCs w:val="24"/>
              </w:rPr>
            </w:pPr>
            <w:r w:rsidRPr="003A099C">
              <w:rPr>
                <w:rFonts w:eastAsia="Times New Roman" w:cs="Calibri"/>
                <w:bCs/>
                <w:color w:val="000000"/>
                <w:sz w:val="24"/>
                <w:szCs w:val="24"/>
              </w:rPr>
              <w:t>Frecuencia de medición:</w:t>
            </w:r>
            <w:r w:rsidRPr="003A099C">
              <w:rPr>
                <w:rFonts w:eastAsia="Times New Roman" w:cs="Calibri"/>
                <w:b w:val="0"/>
                <w:color w:val="000000"/>
                <w:sz w:val="24"/>
                <w:szCs w:val="24"/>
              </w:rPr>
              <w:t xml:space="preserve"> Anual</w:t>
            </w:r>
          </w:p>
        </w:tc>
        <w:tc>
          <w:tcPr>
            <w:tcW w:w="4111" w:type="dxa"/>
            <w:tcBorders>
              <w:top w:val="nil"/>
              <w:left w:val="nil"/>
              <w:bottom w:val="single" w:sz="8" w:space="0" w:color="auto"/>
              <w:right w:val="single" w:sz="8" w:space="0" w:color="auto"/>
            </w:tcBorders>
            <w:shd w:val="clear" w:color="auto" w:fill="auto"/>
            <w:vAlign w:val="center"/>
            <w:hideMark/>
          </w:tcPr>
          <w:p w:rsidR="003A099C" w:rsidRPr="003A099C" w:rsidRDefault="003A099C" w:rsidP="003A099C">
            <w:pPr>
              <w:spacing w:after="0" w:line="360" w:lineRule="auto"/>
              <w:rPr>
                <w:rFonts w:eastAsia="Times New Roman" w:cs="Calibri"/>
                <w:b w:val="0"/>
                <w:color w:val="000000"/>
                <w:sz w:val="24"/>
                <w:szCs w:val="24"/>
              </w:rPr>
            </w:pPr>
            <w:r w:rsidRPr="003A099C">
              <w:rPr>
                <w:rFonts w:eastAsia="Times New Roman" w:cs="Calibri"/>
                <w:bCs/>
                <w:color w:val="000000"/>
                <w:sz w:val="24"/>
                <w:szCs w:val="24"/>
              </w:rPr>
              <w:t>Unidad de Medida:</w:t>
            </w:r>
            <w:r w:rsidRPr="003A099C">
              <w:rPr>
                <w:rFonts w:eastAsia="Times New Roman" w:cs="Calibri"/>
                <w:b w:val="0"/>
                <w:color w:val="000000"/>
                <w:sz w:val="24"/>
                <w:szCs w:val="24"/>
              </w:rPr>
              <w:t xml:space="preserve"> Porcentaje</w:t>
            </w:r>
          </w:p>
        </w:tc>
      </w:tr>
      <w:tr w:rsidR="003A099C" w:rsidRPr="003A099C" w:rsidTr="003E7B3E">
        <w:trPr>
          <w:trHeight w:val="315"/>
          <w:jc w:val="center"/>
        </w:trPr>
        <w:tc>
          <w:tcPr>
            <w:tcW w:w="87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A099C" w:rsidRPr="003A099C" w:rsidRDefault="003A099C" w:rsidP="003A099C">
            <w:pPr>
              <w:spacing w:after="0" w:line="360" w:lineRule="auto"/>
              <w:jc w:val="center"/>
              <w:rPr>
                <w:rFonts w:eastAsia="Times New Roman" w:cs="Calibri"/>
                <w:bCs/>
                <w:color w:val="000000"/>
                <w:sz w:val="24"/>
                <w:szCs w:val="24"/>
              </w:rPr>
            </w:pPr>
            <w:r w:rsidRPr="003A099C">
              <w:rPr>
                <w:rFonts w:eastAsia="Times New Roman" w:cs="Calibri"/>
                <w:bCs/>
                <w:color w:val="000000"/>
                <w:sz w:val="24"/>
                <w:szCs w:val="24"/>
              </w:rPr>
              <w:t>Calculo y especificación de datos</w:t>
            </w:r>
          </w:p>
        </w:tc>
      </w:tr>
      <w:tr w:rsidR="003A099C" w:rsidRPr="003A099C" w:rsidTr="003E7B3E">
        <w:trPr>
          <w:trHeight w:val="315"/>
          <w:jc w:val="center"/>
        </w:trPr>
        <w:tc>
          <w:tcPr>
            <w:tcW w:w="87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A099C" w:rsidRPr="003A099C" w:rsidRDefault="003A099C" w:rsidP="003A099C">
            <w:pPr>
              <w:spacing w:after="0" w:line="360" w:lineRule="auto"/>
              <w:rPr>
                <w:rFonts w:eastAsia="Times New Roman" w:cs="Calibri"/>
                <w:b w:val="0"/>
                <w:color w:val="000000"/>
                <w:sz w:val="24"/>
                <w:szCs w:val="24"/>
              </w:rPr>
            </w:pPr>
            <w:r w:rsidRPr="003A099C">
              <w:rPr>
                <w:rFonts w:eastAsia="Times New Roman" w:cs="Calibri"/>
                <w:bCs/>
                <w:color w:val="000000"/>
                <w:sz w:val="24"/>
                <w:szCs w:val="24"/>
              </w:rPr>
              <w:t>Fórmula de cálculo:</w:t>
            </w:r>
            <w:r w:rsidRPr="003A099C">
              <w:rPr>
                <w:rFonts w:eastAsia="Times New Roman" w:cs="Calibri"/>
                <w:b w:val="0"/>
                <w:color w:val="000000"/>
                <w:sz w:val="24"/>
                <w:szCs w:val="24"/>
              </w:rPr>
              <w:t xml:space="preserve"> NTR=PVI</w:t>
            </w:r>
          </w:p>
        </w:tc>
      </w:tr>
      <w:tr w:rsidR="003A099C" w:rsidRPr="003A099C" w:rsidTr="003E7B3E">
        <w:trPr>
          <w:trHeight w:val="315"/>
          <w:jc w:val="center"/>
        </w:trPr>
        <w:tc>
          <w:tcPr>
            <w:tcW w:w="87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A099C" w:rsidRPr="003A099C" w:rsidRDefault="003A099C" w:rsidP="003A099C">
            <w:pPr>
              <w:spacing w:after="0" w:line="360" w:lineRule="auto"/>
              <w:rPr>
                <w:rFonts w:eastAsia="Times New Roman" w:cs="Calibri"/>
                <w:b w:val="0"/>
                <w:color w:val="000000"/>
                <w:sz w:val="24"/>
                <w:szCs w:val="24"/>
              </w:rPr>
            </w:pPr>
            <w:r w:rsidRPr="003A099C">
              <w:rPr>
                <w:rFonts w:eastAsia="Times New Roman" w:cs="Calibri"/>
                <w:bCs/>
                <w:color w:val="000000"/>
                <w:sz w:val="24"/>
                <w:szCs w:val="24"/>
              </w:rPr>
              <w:t>Desagregación demográfica y geográfica:</w:t>
            </w:r>
            <w:r w:rsidRPr="003A099C">
              <w:rPr>
                <w:rFonts w:eastAsia="Times New Roman" w:cs="Calibri"/>
                <w:b w:val="0"/>
                <w:color w:val="000000"/>
                <w:sz w:val="24"/>
                <w:szCs w:val="24"/>
              </w:rPr>
              <w:t xml:space="preserve"> N/A</w:t>
            </w:r>
          </w:p>
        </w:tc>
      </w:tr>
      <w:tr w:rsidR="003A099C" w:rsidRPr="003A099C" w:rsidTr="003E7B3E">
        <w:trPr>
          <w:trHeight w:val="315"/>
          <w:jc w:val="center"/>
        </w:trPr>
        <w:tc>
          <w:tcPr>
            <w:tcW w:w="87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A099C" w:rsidRPr="003A099C" w:rsidRDefault="003A099C" w:rsidP="003A099C">
            <w:pPr>
              <w:spacing w:after="0" w:line="360" w:lineRule="auto"/>
              <w:jc w:val="left"/>
              <w:rPr>
                <w:rFonts w:eastAsia="Times New Roman" w:cs="Calibri"/>
                <w:b w:val="0"/>
                <w:color w:val="000000"/>
                <w:sz w:val="24"/>
                <w:szCs w:val="24"/>
              </w:rPr>
            </w:pPr>
            <w:r w:rsidRPr="003A099C">
              <w:rPr>
                <w:rFonts w:eastAsia="Times New Roman" w:cs="Calibri"/>
                <w:bCs/>
                <w:color w:val="000000"/>
                <w:sz w:val="24"/>
                <w:szCs w:val="24"/>
              </w:rPr>
              <w:t>Fuente del dato:</w:t>
            </w:r>
            <w:r w:rsidRPr="003A099C">
              <w:rPr>
                <w:rFonts w:eastAsia="Times New Roman" w:cs="Calibri"/>
                <w:b w:val="0"/>
                <w:color w:val="000000"/>
                <w:sz w:val="24"/>
                <w:szCs w:val="24"/>
              </w:rPr>
              <w:t xml:space="preserve"> DIGEIG.</w:t>
            </w:r>
          </w:p>
        </w:tc>
      </w:tr>
      <w:tr w:rsidR="003A099C" w:rsidRPr="003A099C" w:rsidTr="003E7B3E">
        <w:trPr>
          <w:trHeight w:val="870"/>
          <w:jc w:val="center"/>
        </w:trPr>
        <w:tc>
          <w:tcPr>
            <w:tcW w:w="87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A099C" w:rsidRPr="003A099C" w:rsidRDefault="003A099C" w:rsidP="003A099C">
            <w:pPr>
              <w:spacing w:after="0" w:line="360" w:lineRule="auto"/>
              <w:rPr>
                <w:rFonts w:eastAsia="Times New Roman" w:cs="Calibri"/>
                <w:b w:val="0"/>
                <w:color w:val="000000"/>
                <w:sz w:val="24"/>
                <w:szCs w:val="24"/>
              </w:rPr>
            </w:pPr>
            <w:r w:rsidRPr="003A099C">
              <w:rPr>
                <w:rFonts w:eastAsia="Times New Roman" w:cs="Calibri"/>
                <w:bCs/>
                <w:color w:val="000000"/>
                <w:sz w:val="24"/>
                <w:szCs w:val="24"/>
              </w:rPr>
              <w:t>Observaciones: NTR:</w:t>
            </w:r>
            <w:r w:rsidRPr="003A099C">
              <w:rPr>
                <w:rFonts w:eastAsia="Times New Roman" w:cs="Calibri"/>
                <w:b w:val="0"/>
                <w:color w:val="000000"/>
                <w:sz w:val="24"/>
                <w:szCs w:val="24"/>
              </w:rPr>
              <w:t xml:space="preserve"> Nivel Transparencia y Rendición de Cuentas; PVI: Promedio de los Valores de cada Indicador establecido por la DGIEG.</w:t>
            </w:r>
          </w:p>
        </w:tc>
      </w:tr>
    </w:tbl>
    <w:p w:rsidR="003A099C" w:rsidRDefault="003A099C"/>
    <w:p w:rsidR="003A099C" w:rsidRDefault="003A099C"/>
    <w:p w:rsidR="003A099C" w:rsidRDefault="003A099C"/>
    <w:p w:rsidR="003A099C" w:rsidRDefault="003A099C"/>
    <w:p w:rsidR="003A099C" w:rsidRDefault="003A099C"/>
    <w:p w:rsidR="003A099C" w:rsidRDefault="003A099C"/>
    <w:tbl>
      <w:tblPr>
        <w:tblW w:w="8779" w:type="dxa"/>
        <w:jc w:val="center"/>
        <w:tblLook w:val="04A0"/>
      </w:tblPr>
      <w:tblGrid>
        <w:gridCol w:w="4810"/>
        <w:gridCol w:w="3969"/>
      </w:tblGrid>
      <w:tr w:rsidR="003A099C" w:rsidRPr="003A099C" w:rsidTr="003E7B3E">
        <w:trPr>
          <w:trHeight w:val="315"/>
          <w:jc w:val="center"/>
        </w:trPr>
        <w:tc>
          <w:tcPr>
            <w:tcW w:w="87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A099C" w:rsidRPr="003A099C" w:rsidRDefault="003A099C" w:rsidP="003A099C">
            <w:pPr>
              <w:spacing w:after="0" w:line="360" w:lineRule="auto"/>
              <w:jc w:val="center"/>
              <w:rPr>
                <w:rFonts w:eastAsia="Times New Roman" w:cs="Calibri"/>
                <w:bCs/>
                <w:color w:val="000000"/>
                <w:sz w:val="24"/>
                <w:szCs w:val="24"/>
              </w:rPr>
            </w:pPr>
            <w:r w:rsidRPr="003A099C">
              <w:rPr>
                <w:rFonts w:eastAsia="Times New Roman" w:cs="Calibri"/>
                <w:bCs/>
                <w:color w:val="000000"/>
                <w:sz w:val="24"/>
                <w:szCs w:val="24"/>
              </w:rPr>
              <w:lastRenderedPageBreak/>
              <w:t xml:space="preserve">Tabla No. XII: Ficha del Indicador </w:t>
            </w:r>
            <w:r w:rsidR="00CF0074">
              <w:rPr>
                <w:rFonts w:eastAsia="Times New Roman" w:cs="Calibri"/>
                <w:bCs/>
                <w:color w:val="000000"/>
                <w:sz w:val="24"/>
                <w:szCs w:val="24"/>
              </w:rPr>
              <w:t>2</w:t>
            </w:r>
            <w:r w:rsidRPr="003A099C">
              <w:rPr>
                <w:rFonts w:eastAsia="Times New Roman" w:cs="Calibri"/>
                <w:bCs/>
                <w:color w:val="000000"/>
                <w:sz w:val="24"/>
                <w:szCs w:val="24"/>
              </w:rPr>
              <w:t>.4. Cobertura Logística</w:t>
            </w:r>
          </w:p>
        </w:tc>
      </w:tr>
      <w:tr w:rsidR="003A099C" w:rsidRPr="003A099C" w:rsidTr="003E7B3E">
        <w:trPr>
          <w:trHeight w:val="315"/>
          <w:jc w:val="center"/>
        </w:trPr>
        <w:tc>
          <w:tcPr>
            <w:tcW w:w="87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A099C" w:rsidRPr="003A099C" w:rsidRDefault="003A099C" w:rsidP="003A099C">
            <w:pPr>
              <w:spacing w:after="0" w:line="360" w:lineRule="auto"/>
              <w:jc w:val="center"/>
              <w:rPr>
                <w:rFonts w:eastAsia="Times New Roman" w:cs="Calibri"/>
                <w:bCs/>
                <w:color w:val="000000"/>
                <w:sz w:val="24"/>
                <w:szCs w:val="24"/>
              </w:rPr>
            </w:pPr>
            <w:r w:rsidRPr="003A099C">
              <w:rPr>
                <w:rFonts w:eastAsia="Times New Roman" w:cs="Calibri"/>
                <w:bCs/>
                <w:color w:val="000000"/>
                <w:sz w:val="24"/>
                <w:szCs w:val="24"/>
              </w:rPr>
              <w:t>Información General del Indicador:</w:t>
            </w:r>
          </w:p>
        </w:tc>
      </w:tr>
      <w:tr w:rsidR="003A099C" w:rsidRPr="003A099C" w:rsidTr="003E7B3E">
        <w:trPr>
          <w:trHeight w:val="300"/>
          <w:jc w:val="center"/>
        </w:trPr>
        <w:tc>
          <w:tcPr>
            <w:tcW w:w="4810" w:type="dxa"/>
            <w:vMerge w:val="restart"/>
            <w:tcBorders>
              <w:top w:val="nil"/>
              <w:left w:val="single" w:sz="8" w:space="0" w:color="auto"/>
              <w:bottom w:val="single" w:sz="8" w:space="0" w:color="000000"/>
              <w:right w:val="single" w:sz="8" w:space="0" w:color="auto"/>
            </w:tcBorders>
            <w:shd w:val="clear" w:color="auto" w:fill="auto"/>
            <w:vAlign w:val="center"/>
            <w:hideMark/>
          </w:tcPr>
          <w:p w:rsidR="003A099C" w:rsidRPr="003A099C" w:rsidRDefault="003A099C" w:rsidP="003A099C">
            <w:pPr>
              <w:spacing w:after="0" w:line="360" w:lineRule="auto"/>
              <w:rPr>
                <w:rFonts w:eastAsia="Times New Roman" w:cs="Calibri"/>
                <w:b w:val="0"/>
                <w:color w:val="000000"/>
                <w:sz w:val="24"/>
                <w:szCs w:val="24"/>
              </w:rPr>
            </w:pPr>
            <w:r w:rsidRPr="003A099C">
              <w:rPr>
                <w:rFonts w:eastAsia="Times New Roman" w:cs="Calibri"/>
                <w:bCs/>
                <w:color w:val="000000"/>
                <w:sz w:val="24"/>
                <w:szCs w:val="24"/>
              </w:rPr>
              <w:t>Nombre del indicador:</w:t>
            </w:r>
            <w:r w:rsidRPr="003A099C">
              <w:rPr>
                <w:rFonts w:eastAsia="Times New Roman" w:cs="Calibri"/>
                <w:b w:val="0"/>
                <w:color w:val="000000"/>
                <w:sz w:val="24"/>
                <w:szCs w:val="24"/>
              </w:rPr>
              <w:t xml:space="preserve"> 3.4. Cobertura Logística.</w:t>
            </w:r>
          </w:p>
        </w:tc>
        <w:tc>
          <w:tcPr>
            <w:tcW w:w="3969" w:type="dxa"/>
            <w:tcBorders>
              <w:top w:val="nil"/>
              <w:left w:val="nil"/>
              <w:bottom w:val="nil"/>
              <w:right w:val="single" w:sz="8" w:space="0" w:color="auto"/>
            </w:tcBorders>
            <w:shd w:val="clear" w:color="auto" w:fill="auto"/>
            <w:vAlign w:val="center"/>
            <w:hideMark/>
          </w:tcPr>
          <w:p w:rsidR="003A099C" w:rsidRPr="003A099C" w:rsidRDefault="003A099C" w:rsidP="003A099C">
            <w:pPr>
              <w:spacing w:after="0" w:line="360" w:lineRule="auto"/>
              <w:rPr>
                <w:rFonts w:eastAsia="Times New Roman" w:cs="Calibri"/>
                <w:bCs/>
                <w:color w:val="000000"/>
                <w:sz w:val="24"/>
                <w:szCs w:val="24"/>
              </w:rPr>
            </w:pPr>
            <w:r w:rsidRPr="003A099C">
              <w:rPr>
                <w:rFonts w:eastAsia="Times New Roman" w:cs="Calibri"/>
                <w:bCs/>
                <w:color w:val="000000"/>
                <w:sz w:val="24"/>
                <w:szCs w:val="24"/>
              </w:rPr>
              <w:t xml:space="preserve">Línea Base </w:t>
            </w:r>
          </w:p>
        </w:tc>
      </w:tr>
      <w:tr w:rsidR="003A099C" w:rsidRPr="003A099C" w:rsidTr="003E7B3E">
        <w:trPr>
          <w:trHeight w:val="300"/>
          <w:jc w:val="center"/>
        </w:trPr>
        <w:tc>
          <w:tcPr>
            <w:tcW w:w="4810" w:type="dxa"/>
            <w:vMerge/>
            <w:tcBorders>
              <w:top w:val="nil"/>
              <w:left w:val="single" w:sz="8" w:space="0" w:color="auto"/>
              <w:bottom w:val="single" w:sz="8" w:space="0" w:color="000000"/>
              <w:right w:val="single" w:sz="8" w:space="0" w:color="auto"/>
            </w:tcBorders>
            <w:vAlign w:val="center"/>
            <w:hideMark/>
          </w:tcPr>
          <w:p w:rsidR="003A099C" w:rsidRPr="003A099C" w:rsidRDefault="003A099C" w:rsidP="003A099C">
            <w:pPr>
              <w:spacing w:after="0" w:line="360" w:lineRule="auto"/>
              <w:jc w:val="left"/>
              <w:rPr>
                <w:rFonts w:eastAsia="Times New Roman" w:cs="Calibri"/>
                <w:b w:val="0"/>
                <w:color w:val="000000"/>
                <w:sz w:val="24"/>
                <w:szCs w:val="24"/>
              </w:rPr>
            </w:pPr>
          </w:p>
        </w:tc>
        <w:tc>
          <w:tcPr>
            <w:tcW w:w="3969" w:type="dxa"/>
            <w:tcBorders>
              <w:top w:val="nil"/>
              <w:left w:val="nil"/>
              <w:bottom w:val="nil"/>
              <w:right w:val="single" w:sz="8" w:space="0" w:color="auto"/>
            </w:tcBorders>
            <w:shd w:val="clear" w:color="auto" w:fill="auto"/>
            <w:vAlign w:val="center"/>
            <w:hideMark/>
          </w:tcPr>
          <w:p w:rsidR="003A099C" w:rsidRPr="003A099C" w:rsidRDefault="003A099C" w:rsidP="003A099C">
            <w:pPr>
              <w:spacing w:after="0" w:line="360" w:lineRule="auto"/>
              <w:rPr>
                <w:rFonts w:eastAsia="Times New Roman" w:cs="Calibri"/>
                <w:b w:val="0"/>
                <w:color w:val="000000"/>
                <w:sz w:val="24"/>
                <w:szCs w:val="24"/>
              </w:rPr>
            </w:pPr>
            <w:r w:rsidRPr="003A099C">
              <w:rPr>
                <w:rFonts w:eastAsia="Times New Roman" w:cs="Calibri"/>
                <w:bCs/>
                <w:color w:val="000000"/>
                <w:sz w:val="24"/>
                <w:szCs w:val="24"/>
              </w:rPr>
              <w:t>Año:</w:t>
            </w:r>
            <w:r w:rsidRPr="003A099C">
              <w:rPr>
                <w:rFonts w:eastAsia="Times New Roman" w:cs="Calibri"/>
                <w:b w:val="0"/>
                <w:color w:val="000000"/>
                <w:sz w:val="24"/>
                <w:szCs w:val="24"/>
              </w:rPr>
              <w:t xml:space="preserve"> 2020</w:t>
            </w:r>
          </w:p>
        </w:tc>
      </w:tr>
      <w:tr w:rsidR="003A099C" w:rsidRPr="003A099C" w:rsidTr="003E7B3E">
        <w:trPr>
          <w:trHeight w:val="315"/>
          <w:jc w:val="center"/>
        </w:trPr>
        <w:tc>
          <w:tcPr>
            <w:tcW w:w="4810" w:type="dxa"/>
            <w:vMerge/>
            <w:tcBorders>
              <w:top w:val="nil"/>
              <w:left w:val="single" w:sz="8" w:space="0" w:color="auto"/>
              <w:bottom w:val="single" w:sz="8" w:space="0" w:color="000000"/>
              <w:right w:val="single" w:sz="8" w:space="0" w:color="auto"/>
            </w:tcBorders>
            <w:vAlign w:val="center"/>
            <w:hideMark/>
          </w:tcPr>
          <w:p w:rsidR="003A099C" w:rsidRPr="003A099C" w:rsidRDefault="003A099C" w:rsidP="003A099C">
            <w:pPr>
              <w:spacing w:after="0" w:line="360" w:lineRule="auto"/>
              <w:jc w:val="left"/>
              <w:rPr>
                <w:rFonts w:eastAsia="Times New Roman" w:cs="Calibri"/>
                <w:b w:val="0"/>
                <w:color w:val="000000"/>
                <w:sz w:val="24"/>
                <w:szCs w:val="24"/>
              </w:rPr>
            </w:pPr>
          </w:p>
        </w:tc>
        <w:tc>
          <w:tcPr>
            <w:tcW w:w="3969" w:type="dxa"/>
            <w:tcBorders>
              <w:top w:val="nil"/>
              <w:left w:val="nil"/>
              <w:bottom w:val="single" w:sz="8" w:space="0" w:color="auto"/>
              <w:right w:val="single" w:sz="8" w:space="0" w:color="auto"/>
            </w:tcBorders>
            <w:shd w:val="clear" w:color="auto" w:fill="auto"/>
            <w:vAlign w:val="center"/>
            <w:hideMark/>
          </w:tcPr>
          <w:p w:rsidR="003A099C" w:rsidRPr="003A099C" w:rsidRDefault="003A099C" w:rsidP="003A099C">
            <w:pPr>
              <w:spacing w:after="0" w:line="360" w:lineRule="auto"/>
              <w:rPr>
                <w:rFonts w:eastAsia="Times New Roman" w:cs="Calibri"/>
                <w:b w:val="0"/>
                <w:color w:val="000000"/>
                <w:sz w:val="24"/>
                <w:szCs w:val="24"/>
              </w:rPr>
            </w:pPr>
            <w:r w:rsidRPr="003A099C">
              <w:rPr>
                <w:rFonts w:eastAsia="Times New Roman" w:cs="Calibri"/>
                <w:bCs/>
                <w:color w:val="000000"/>
                <w:sz w:val="24"/>
                <w:szCs w:val="24"/>
              </w:rPr>
              <w:t>Valor:</w:t>
            </w:r>
            <w:r w:rsidRPr="003A099C">
              <w:rPr>
                <w:rFonts w:eastAsia="Times New Roman" w:cs="Calibri"/>
                <w:b w:val="0"/>
                <w:color w:val="000000"/>
                <w:sz w:val="24"/>
                <w:szCs w:val="24"/>
              </w:rPr>
              <w:t xml:space="preserve"> 45%</w:t>
            </w:r>
          </w:p>
        </w:tc>
      </w:tr>
      <w:tr w:rsidR="003A099C" w:rsidRPr="003A099C" w:rsidTr="003E7B3E">
        <w:trPr>
          <w:trHeight w:val="765"/>
          <w:jc w:val="center"/>
        </w:trPr>
        <w:tc>
          <w:tcPr>
            <w:tcW w:w="4810" w:type="dxa"/>
            <w:tcBorders>
              <w:top w:val="nil"/>
              <w:left w:val="single" w:sz="8" w:space="0" w:color="auto"/>
              <w:bottom w:val="nil"/>
              <w:right w:val="single" w:sz="8" w:space="0" w:color="auto"/>
            </w:tcBorders>
            <w:shd w:val="clear" w:color="auto" w:fill="auto"/>
            <w:vAlign w:val="center"/>
            <w:hideMark/>
          </w:tcPr>
          <w:p w:rsidR="003A099C" w:rsidRPr="003A099C" w:rsidRDefault="003A099C" w:rsidP="003A099C">
            <w:pPr>
              <w:spacing w:after="0" w:line="360" w:lineRule="auto"/>
              <w:rPr>
                <w:rFonts w:eastAsia="Times New Roman" w:cs="Calibri"/>
                <w:b w:val="0"/>
                <w:color w:val="000000"/>
                <w:sz w:val="24"/>
                <w:szCs w:val="24"/>
              </w:rPr>
            </w:pPr>
            <w:r w:rsidRPr="003A099C">
              <w:rPr>
                <w:rFonts w:eastAsia="Times New Roman" w:cs="Calibri"/>
                <w:b w:val="0"/>
                <w:color w:val="000000"/>
                <w:sz w:val="24"/>
                <w:szCs w:val="24"/>
              </w:rPr>
              <w:t>Eje Estratégico: No. 2: Calidad de la Gestión Institucional.</w:t>
            </w:r>
          </w:p>
          <w:p w:rsidR="003A099C" w:rsidRPr="003A099C" w:rsidRDefault="003A099C" w:rsidP="003A099C">
            <w:pPr>
              <w:spacing w:after="0" w:line="360" w:lineRule="auto"/>
              <w:rPr>
                <w:rFonts w:eastAsia="Times New Roman" w:cs="Calibri"/>
                <w:b w:val="0"/>
                <w:color w:val="000000"/>
                <w:sz w:val="24"/>
                <w:szCs w:val="24"/>
              </w:rPr>
            </w:pPr>
          </w:p>
        </w:tc>
        <w:tc>
          <w:tcPr>
            <w:tcW w:w="3969" w:type="dxa"/>
            <w:tcBorders>
              <w:top w:val="nil"/>
              <w:left w:val="nil"/>
              <w:bottom w:val="nil"/>
              <w:right w:val="single" w:sz="8" w:space="0" w:color="auto"/>
            </w:tcBorders>
            <w:shd w:val="clear" w:color="auto" w:fill="auto"/>
            <w:vAlign w:val="center"/>
            <w:hideMark/>
          </w:tcPr>
          <w:p w:rsidR="003A099C" w:rsidRPr="003A099C" w:rsidRDefault="003A099C" w:rsidP="003A099C">
            <w:pPr>
              <w:spacing w:after="0" w:line="360" w:lineRule="auto"/>
              <w:rPr>
                <w:rFonts w:eastAsia="Times New Roman" w:cs="Calibri"/>
                <w:bCs/>
                <w:color w:val="000000"/>
                <w:sz w:val="24"/>
                <w:szCs w:val="24"/>
              </w:rPr>
            </w:pPr>
            <w:r w:rsidRPr="003A099C">
              <w:rPr>
                <w:rFonts w:eastAsia="Times New Roman" w:cs="Calibri"/>
                <w:bCs/>
                <w:color w:val="000000"/>
                <w:sz w:val="24"/>
                <w:szCs w:val="24"/>
              </w:rPr>
              <w:t>Meta</w:t>
            </w:r>
          </w:p>
        </w:tc>
      </w:tr>
      <w:tr w:rsidR="003A099C" w:rsidRPr="003A099C" w:rsidTr="003E7B3E">
        <w:trPr>
          <w:trHeight w:val="300"/>
          <w:jc w:val="center"/>
        </w:trPr>
        <w:tc>
          <w:tcPr>
            <w:tcW w:w="4810" w:type="dxa"/>
            <w:tcBorders>
              <w:top w:val="nil"/>
              <w:left w:val="single" w:sz="8" w:space="0" w:color="auto"/>
              <w:bottom w:val="nil"/>
              <w:right w:val="single" w:sz="8" w:space="0" w:color="auto"/>
            </w:tcBorders>
            <w:shd w:val="clear" w:color="auto" w:fill="auto"/>
            <w:vAlign w:val="center"/>
            <w:hideMark/>
          </w:tcPr>
          <w:p w:rsidR="003A099C" w:rsidRPr="003A099C" w:rsidRDefault="003A099C" w:rsidP="003A099C">
            <w:pPr>
              <w:spacing w:after="0" w:line="360" w:lineRule="auto"/>
              <w:rPr>
                <w:rFonts w:eastAsia="Times New Roman" w:cs="Calibri"/>
                <w:b w:val="0"/>
                <w:color w:val="000000"/>
                <w:sz w:val="24"/>
                <w:szCs w:val="24"/>
              </w:rPr>
            </w:pPr>
            <w:r w:rsidRPr="003A099C">
              <w:rPr>
                <w:rFonts w:eastAsia="Times New Roman" w:cs="Calibri"/>
                <w:b w:val="0"/>
                <w:color w:val="000000"/>
                <w:sz w:val="24"/>
                <w:szCs w:val="24"/>
              </w:rPr>
              <w:t>Objetivo Estratégico: OE2. Mejorar la calidad de la gestión institucional del INAZUCAR de cara al cumplimiento de su mandato legal.</w:t>
            </w:r>
          </w:p>
        </w:tc>
        <w:tc>
          <w:tcPr>
            <w:tcW w:w="3969" w:type="dxa"/>
            <w:tcBorders>
              <w:top w:val="nil"/>
              <w:left w:val="nil"/>
              <w:bottom w:val="nil"/>
              <w:right w:val="single" w:sz="8" w:space="0" w:color="auto"/>
            </w:tcBorders>
            <w:shd w:val="clear" w:color="auto" w:fill="auto"/>
            <w:vAlign w:val="center"/>
            <w:hideMark/>
          </w:tcPr>
          <w:p w:rsidR="003A099C" w:rsidRPr="003A099C" w:rsidRDefault="003A099C" w:rsidP="003A099C">
            <w:pPr>
              <w:spacing w:after="0" w:line="360" w:lineRule="auto"/>
              <w:rPr>
                <w:rFonts w:eastAsia="Times New Roman" w:cs="Calibri"/>
                <w:b w:val="0"/>
                <w:color w:val="000000"/>
                <w:sz w:val="24"/>
                <w:szCs w:val="24"/>
              </w:rPr>
            </w:pPr>
            <w:r w:rsidRPr="003A099C">
              <w:rPr>
                <w:rFonts w:eastAsia="Times New Roman" w:cs="Calibri"/>
                <w:bCs/>
                <w:color w:val="000000"/>
                <w:sz w:val="24"/>
                <w:szCs w:val="24"/>
              </w:rPr>
              <w:t>Año:</w:t>
            </w:r>
            <w:r w:rsidRPr="003A099C">
              <w:rPr>
                <w:rFonts w:eastAsia="Times New Roman" w:cs="Calibri"/>
                <w:b w:val="0"/>
                <w:color w:val="000000"/>
                <w:sz w:val="24"/>
                <w:szCs w:val="24"/>
              </w:rPr>
              <w:t xml:space="preserve"> 2022 </w:t>
            </w:r>
          </w:p>
          <w:p w:rsidR="003A099C" w:rsidRPr="003A099C" w:rsidRDefault="003A099C" w:rsidP="003A099C">
            <w:pPr>
              <w:spacing w:after="0" w:line="360" w:lineRule="auto"/>
              <w:rPr>
                <w:rFonts w:eastAsia="Times New Roman" w:cs="Calibri"/>
                <w:b w:val="0"/>
                <w:color w:val="000000"/>
                <w:sz w:val="24"/>
                <w:szCs w:val="24"/>
              </w:rPr>
            </w:pPr>
          </w:p>
          <w:p w:rsidR="003A099C" w:rsidRPr="003A099C" w:rsidRDefault="003A099C" w:rsidP="003A099C">
            <w:pPr>
              <w:spacing w:after="0" w:line="360" w:lineRule="auto"/>
              <w:rPr>
                <w:rFonts w:eastAsia="Times New Roman" w:cs="Calibri"/>
                <w:b w:val="0"/>
                <w:color w:val="000000"/>
                <w:sz w:val="24"/>
                <w:szCs w:val="24"/>
              </w:rPr>
            </w:pPr>
            <w:r w:rsidRPr="003A099C">
              <w:rPr>
                <w:rFonts w:eastAsia="Times New Roman" w:cs="Calibri"/>
                <w:bCs/>
                <w:color w:val="000000"/>
                <w:sz w:val="24"/>
                <w:szCs w:val="24"/>
              </w:rPr>
              <w:t>Valor:</w:t>
            </w:r>
            <w:r w:rsidRPr="003A099C">
              <w:rPr>
                <w:rFonts w:eastAsia="Times New Roman" w:cs="Calibri"/>
                <w:b w:val="0"/>
                <w:color w:val="000000"/>
                <w:sz w:val="24"/>
                <w:szCs w:val="24"/>
              </w:rPr>
              <w:t xml:space="preserve"> 100%</w:t>
            </w:r>
          </w:p>
        </w:tc>
      </w:tr>
      <w:tr w:rsidR="003A099C" w:rsidRPr="003A099C" w:rsidTr="003E7B3E">
        <w:trPr>
          <w:trHeight w:val="705"/>
          <w:jc w:val="center"/>
        </w:trPr>
        <w:tc>
          <w:tcPr>
            <w:tcW w:w="87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A099C" w:rsidRPr="003A099C" w:rsidRDefault="003A099C" w:rsidP="003A099C">
            <w:pPr>
              <w:spacing w:after="0" w:line="360" w:lineRule="auto"/>
              <w:rPr>
                <w:rFonts w:eastAsia="Times New Roman" w:cs="Calibri"/>
                <w:b w:val="0"/>
                <w:color w:val="000000"/>
                <w:sz w:val="24"/>
                <w:szCs w:val="24"/>
              </w:rPr>
            </w:pPr>
            <w:r w:rsidRPr="003A099C">
              <w:rPr>
                <w:rFonts w:eastAsia="Times New Roman" w:cs="Calibri"/>
                <w:bCs/>
                <w:color w:val="000000"/>
                <w:sz w:val="24"/>
                <w:szCs w:val="24"/>
              </w:rPr>
              <w:t>Descripción del Indicador:</w:t>
            </w:r>
            <w:r w:rsidRPr="003A099C">
              <w:rPr>
                <w:rFonts w:eastAsia="Times New Roman" w:cs="Calibri"/>
                <w:b w:val="0"/>
                <w:color w:val="000000"/>
                <w:sz w:val="24"/>
                <w:szCs w:val="24"/>
              </w:rPr>
              <w:t xml:space="preserve"> Niveles de necesidades logísticas cubiertas en el INAZUCAR, al año 2022.</w:t>
            </w:r>
          </w:p>
        </w:tc>
      </w:tr>
      <w:tr w:rsidR="003A099C" w:rsidRPr="003A099C" w:rsidTr="003E7B3E">
        <w:trPr>
          <w:trHeight w:val="315"/>
          <w:jc w:val="center"/>
        </w:trPr>
        <w:tc>
          <w:tcPr>
            <w:tcW w:w="87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A099C" w:rsidRPr="003A099C" w:rsidRDefault="003A099C" w:rsidP="003A099C">
            <w:pPr>
              <w:spacing w:after="0" w:line="360" w:lineRule="auto"/>
              <w:jc w:val="center"/>
              <w:rPr>
                <w:rFonts w:eastAsia="Times New Roman" w:cs="Calibri"/>
                <w:bCs/>
                <w:color w:val="000000"/>
                <w:sz w:val="24"/>
                <w:szCs w:val="24"/>
              </w:rPr>
            </w:pPr>
            <w:r w:rsidRPr="003A099C">
              <w:rPr>
                <w:rFonts w:eastAsia="Times New Roman" w:cs="Calibri"/>
                <w:bCs/>
                <w:color w:val="000000"/>
                <w:sz w:val="24"/>
                <w:szCs w:val="24"/>
              </w:rPr>
              <w:t>Característica del Indicador</w:t>
            </w:r>
          </w:p>
        </w:tc>
      </w:tr>
      <w:tr w:rsidR="003A099C" w:rsidRPr="003A099C" w:rsidTr="003E7B3E">
        <w:trPr>
          <w:trHeight w:val="315"/>
          <w:jc w:val="center"/>
        </w:trPr>
        <w:tc>
          <w:tcPr>
            <w:tcW w:w="87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A099C" w:rsidRPr="003A099C" w:rsidRDefault="003A099C" w:rsidP="003A099C">
            <w:pPr>
              <w:spacing w:after="0" w:line="360" w:lineRule="auto"/>
              <w:rPr>
                <w:rFonts w:eastAsia="Times New Roman" w:cs="Calibri"/>
                <w:b w:val="0"/>
                <w:color w:val="000000"/>
                <w:sz w:val="24"/>
                <w:szCs w:val="24"/>
              </w:rPr>
            </w:pPr>
            <w:r w:rsidRPr="003A099C">
              <w:rPr>
                <w:rFonts w:eastAsia="Times New Roman" w:cs="Calibri"/>
                <w:bCs/>
                <w:color w:val="000000"/>
                <w:sz w:val="24"/>
                <w:szCs w:val="24"/>
              </w:rPr>
              <w:t>Clasificación:</w:t>
            </w:r>
            <w:r w:rsidRPr="003A099C">
              <w:rPr>
                <w:rFonts w:eastAsia="Times New Roman" w:cs="Calibri"/>
                <w:b w:val="0"/>
                <w:color w:val="000000"/>
                <w:sz w:val="24"/>
                <w:szCs w:val="24"/>
              </w:rPr>
              <w:t xml:space="preserve"> Eficacia </w:t>
            </w:r>
          </w:p>
        </w:tc>
      </w:tr>
      <w:tr w:rsidR="003A099C" w:rsidRPr="003A099C" w:rsidTr="003E7B3E">
        <w:trPr>
          <w:trHeight w:val="525"/>
          <w:jc w:val="center"/>
        </w:trPr>
        <w:tc>
          <w:tcPr>
            <w:tcW w:w="4810" w:type="dxa"/>
            <w:tcBorders>
              <w:top w:val="nil"/>
              <w:left w:val="single" w:sz="8" w:space="0" w:color="auto"/>
              <w:bottom w:val="single" w:sz="8" w:space="0" w:color="auto"/>
              <w:right w:val="single" w:sz="8" w:space="0" w:color="auto"/>
            </w:tcBorders>
            <w:shd w:val="clear" w:color="auto" w:fill="auto"/>
            <w:vAlign w:val="center"/>
            <w:hideMark/>
          </w:tcPr>
          <w:p w:rsidR="003A099C" w:rsidRPr="003A099C" w:rsidRDefault="003A099C" w:rsidP="003A099C">
            <w:pPr>
              <w:spacing w:after="0" w:line="360" w:lineRule="auto"/>
              <w:rPr>
                <w:rFonts w:eastAsia="Times New Roman" w:cs="Calibri"/>
                <w:b w:val="0"/>
                <w:color w:val="000000"/>
                <w:sz w:val="24"/>
                <w:szCs w:val="24"/>
              </w:rPr>
            </w:pPr>
            <w:r w:rsidRPr="003A099C">
              <w:rPr>
                <w:rFonts w:eastAsia="Times New Roman" w:cs="Calibri"/>
                <w:bCs/>
                <w:color w:val="000000"/>
                <w:sz w:val="24"/>
                <w:szCs w:val="24"/>
              </w:rPr>
              <w:t>Frecuencia de medición:</w:t>
            </w:r>
            <w:r w:rsidRPr="003A099C">
              <w:rPr>
                <w:rFonts w:eastAsia="Times New Roman" w:cs="Calibri"/>
                <w:b w:val="0"/>
                <w:color w:val="000000"/>
                <w:sz w:val="24"/>
                <w:szCs w:val="24"/>
              </w:rPr>
              <w:t xml:space="preserve"> Anual</w:t>
            </w:r>
          </w:p>
        </w:tc>
        <w:tc>
          <w:tcPr>
            <w:tcW w:w="3969" w:type="dxa"/>
            <w:tcBorders>
              <w:top w:val="nil"/>
              <w:left w:val="nil"/>
              <w:bottom w:val="single" w:sz="8" w:space="0" w:color="auto"/>
              <w:right w:val="single" w:sz="8" w:space="0" w:color="auto"/>
            </w:tcBorders>
            <w:shd w:val="clear" w:color="auto" w:fill="auto"/>
            <w:vAlign w:val="center"/>
            <w:hideMark/>
          </w:tcPr>
          <w:p w:rsidR="003A099C" w:rsidRPr="003A099C" w:rsidRDefault="003A099C" w:rsidP="003A099C">
            <w:pPr>
              <w:spacing w:after="0" w:line="360" w:lineRule="auto"/>
              <w:rPr>
                <w:rFonts w:eastAsia="Times New Roman" w:cs="Calibri"/>
                <w:b w:val="0"/>
                <w:color w:val="000000"/>
                <w:sz w:val="24"/>
                <w:szCs w:val="24"/>
              </w:rPr>
            </w:pPr>
            <w:r w:rsidRPr="003A099C">
              <w:rPr>
                <w:rFonts w:eastAsia="Times New Roman" w:cs="Calibri"/>
                <w:bCs/>
                <w:color w:val="000000"/>
                <w:sz w:val="24"/>
                <w:szCs w:val="24"/>
              </w:rPr>
              <w:t>Unidad de Medida:</w:t>
            </w:r>
            <w:r w:rsidRPr="003A099C">
              <w:rPr>
                <w:rFonts w:eastAsia="Times New Roman" w:cs="Calibri"/>
                <w:b w:val="0"/>
                <w:color w:val="000000"/>
                <w:sz w:val="24"/>
                <w:szCs w:val="24"/>
              </w:rPr>
              <w:t xml:space="preserve"> Porcentaje</w:t>
            </w:r>
          </w:p>
        </w:tc>
      </w:tr>
      <w:tr w:rsidR="003A099C" w:rsidRPr="003A099C" w:rsidTr="003E7B3E">
        <w:trPr>
          <w:trHeight w:val="315"/>
          <w:jc w:val="center"/>
        </w:trPr>
        <w:tc>
          <w:tcPr>
            <w:tcW w:w="87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A099C" w:rsidRPr="003A099C" w:rsidRDefault="003A099C" w:rsidP="003A099C">
            <w:pPr>
              <w:spacing w:after="0" w:line="360" w:lineRule="auto"/>
              <w:jc w:val="center"/>
              <w:rPr>
                <w:rFonts w:eastAsia="Times New Roman" w:cs="Calibri"/>
                <w:bCs/>
                <w:color w:val="000000"/>
                <w:sz w:val="24"/>
                <w:szCs w:val="24"/>
              </w:rPr>
            </w:pPr>
            <w:r w:rsidRPr="003A099C">
              <w:rPr>
                <w:rFonts w:eastAsia="Times New Roman" w:cs="Calibri"/>
                <w:bCs/>
                <w:color w:val="000000"/>
                <w:sz w:val="24"/>
                <w:szCs w:val="24"/>
              </w:rPr>
              <w:t>Calculo y especificación de datos</w:t>
            </w:r>
          </w:p>
        </w:tc>
      </w:tr>
      <w:tr w:rsidR="003A099C" w:rsidRPr="003A099C" w:rsidTr="003E7B3E">
        <w:trPr>
          <w:trHeight w:val="315"/>
          <w:jc w:val="center"/>
        </w:trPr>
        <w:tc>
          <w:tcPr>
            <w:tcW w:w="87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A099C" w:rsidRPr="003A099C" w:rsidRDefault="003A099C" w:rsidP="003A099C">
            <w:pPr>
              <w:spacing w:after="0" w:line="360" w:lineRule="auto"/>
              <w:rPr>
                <w:rFonts w:eastAsia="Times New Roman" w:cs="Calibri"/>
                <w:b w:val="0"/>
                <w:color w:val="000000"/>
                <w:sz w:val="24"/>
                <w:szCs w:val="24"/>
              </w:rPr>
            </w:pPr>
            <w:r w:rsidRPr="003A099C">
              <w:rPr>
                <w:rFonts w:eastAsia="Times New Roman" w:cs="Calibri"/>
                <w:bCs/>
                <w:color w:val="000000"/>
                <w:sz w:val="24"/>
                <w:szCs w:val="24"/>
              </w:rPr>
              <w:t>Fórmula de cálculo:</w:t>
            </w:r>
            <w:r w:rsidRPr="003A099C">
              <w:rPr>
                <w:rFonts w:eastAsia="Times New Roman" w:cs="Calibri"/>
                <w:b w:val="0"/>
                <w:color w:val="000000"/>
                <w:sz w:val="24"/>
                <w:szCs w:val="24"/>
              </w:rPr>
              <w:t xml:space="preserve"> CL=NE/NC</w:t>
            </w:r>
          </w:p>
        </w:tc>
      </w:tr>
      <w:tr w:rsidR="003A099C" w:rsidRPr="003A099C" w:rsidTr="003E7B3E">
        <w:trPr>
          <w:trHeight w:val="315"/>
          <w:jc w:val="center"/>
        </w:trPr>
        <w:tc>
          <w:tcPr>
            <w:tcW w:w="87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A099C" w:rsidRPr="003A099C" w:rsidRDefault="003A099C" w:rsidP="003A099C">
            <w:pPr>
              <w:spacing w:after="0" w:line="360" w:lineRule="auto"/>
              <w:rPr>
                <w:rFonts w:eastAsia="Times New Roman" w:cs="Calibri"/>
                <w:b w:val="0"/>
                <w:color w:val="000000"/>
                <w:sz w:val="24"/>
                <w:szCs w:val="24"/>
              </w:rPr>
            </w:pPr>
            <w:r w:rsidRPr="003A099C">
              <w:rPr>
                <w:rFonts w:eastAsia="Times New Roman" w:cs="Calibri"/>
                <w:bCs/>
                <w:color w:val="000000"/>
                <w:sz w:val="24"/>
                <w:szCs w:val="24"/>
              </w:rPr>
              <w:t>Desagregación demográfica y geográfica:</w:t>
            </w:r>
            <w:r w:rsidRPr="003A099C">
              <w:rPr>
                <w:rFonts w:eastAsia="Times New Roman" w:cs="Calibri"/>
                <w:b w:val="0"/>
                <w:color w:val="000000"/>
                <w:sz w:val="24"/>
                <w:szCs w:val="24"/>
              </w:rPr>
              <w:t xml:space="preserve"> N/A</w:t>
            </w:r>
          </w:p>
        </w:tc>
      </w:tr>
      <w:tr w:rsidR="003A099C" w:rsidRPr="003A099C" w:rsidTr="003E7B3E">
        <w:trPr>
          <w:trHeight w:val="315"/>
          <w:jc w:val="center"/>
        </w:trPr>
        <w:tc>
          <w:tcPr>
            <w:tcW w:w="87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A099C" w:rsidRPr="003A099C" w:rsidRDefault="003A099C" w:rsidP="003A099C">
            <w:pPr>
              <w:spacing w:after="0" w:line="360" w:lineRule="auto"/>
              <w:jc w:val="left"/>
              <w:rPr>
                <w:rFonts w:eastAsia="Times New Roman" w:cs="Calibri"/>
                <w:b w:val="0"/>
                <w:color w:val="000000"/>
                <w:sz w:val="24"/>
                <w:szCs w:val="24"/>
              </w:rPr>
            </w:pPr>
            <w:r w:rsidRPr="003A099C">
              <w:rPr>
                <w:rFonts w:eastAsia="Times New Roman" w:cs="Calibri"/>
                <w:bCs/>
                <w:color w:val="000000"/>
                <w:sz w:val="24"/>
                <w:szCs w:val="24"/>
              </w:rPr>
              <w:t>Fuente del dato:</w:t>
            </w:r>
            <w:r w:rsidRPr="003A099C">
              <w:rPr>
                <w:rFonts w:eastAsia="Times New Roman" w:cs="Calibri"/>
                <w:b w:val="0"/>
                <w:color w:val="000000"/>
                <w:sz w:val="24"/>
                <w:szCs w:val="24"/>
              </w:rPr>
              <w:t xml:space="preserve"> División Administrativa y Financiera.</w:t>
            </w:r>
          </w:p>
        </w:tc>
      </w:tr>
      <w:tr w:rsidR="003A099C" w:rsidRPr="003A099C" w:rsidTr="003E7B3E">
        <w:trPr>
          <w:trHeight w:val="630"/>
          <w:jc w:val="center"/>
        </w:trPr>
        <w:tc>
          <w:tcPr>
            <w:tcW w:w="87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A099C" w:rsidRPr="003A099C" w:rsidRDefault="003A099C" w:rsidP="003A099C">
            <w:pPr>
              <w:spacing w:after="0" w:line="360" w:lineRule="auto"/>
              <w:rPr>
                <w:rFonts w:eastAsia="Times New Roman" w:cs="Calibri"/>
                <w:b w:val="0"/>
                <w:color w:val="000000"/>
                <w:sz w:val="24"/>
                <w:szCs w:val="24"/>
              </w:rPr>
            </w:pPr>
            <w:r w:rsidRPr="003A099C">
              <w:rPr>
                <w:rFonts w:eastAsia="Times New Roman" w:cs="Calibri"/>
                <w:bCs/>
                <w:color w:val="000000"/>
                <w:sz w:val="24"/>
                <w:szCs w:val="24"/>
              </w:rPr>
              <w:t>Observaciones:</w:t>
            </w:r>
            <w:r w:rsidRPr="003A099C">
              <w:rPr>
                <w:rFonts w:eastAsia="Times New Roman" w:cs="Calibri"/>
                <w:b w:val="0"/>
                <w:color w:val="000000"/>
                <w:sz w:val="24"/>
                <w:szCs w:val="24"/>
              </w:rPr>
              <w:t xml:space="preserve"> Lectura de la fórmula de cálculo: CL: Cobertura Logística; NE: Necesidades Existentes; NC: Necesidades Logísticas Cubiertas.</w:t>
            </w:r>
          </w:p>
        </w:tc>
      </w:tr>
    </w:tbl>
    <w:p w:rsidR="003A099C" w:rsidRDefault="003A099C"/>
    <w:tbl>
      <w:tblPr>
        <w:tblW w:w="10395" w:type="dxa"/>
        <w:jc w:val="center"/>
        <w:tblLayout w:type="fixed"/>
        <w:tblCellMar>
          <w:left w:w="115" w:type="dxa"/>
          <w:right w:w="115" w:type="dxa"/>
        </w:tblCellMar>
        <w:tblLook w:val="01E0"/>
      </w:tblPr>
      <w:tblGrid>
        <w:gridCol w:w="10395"/>
      </w:tblGrid>
      <w:tr w:rsidR="003E7B3E" w:rsidTr="003E7B3E">
        <w:trPr>
          <w:trHeight w:val="308"/>
          <w:jc w:val="center"/>
        </w:trPr>
        <w:tc>
          <w:tcPr>
            <w:tcW w:w="10402" w:type="dxa"/>
            <w:tcBorders>
              <w:top w:val="single" w:sz="24" w:space="0" w:color="C0C0C0"/>
              <w:left w:val="single" w:sz="4" w:space="0" w:color="BFBFBF"/>
              <w:bottom w:val="single" w:sz="24" w:space="0" w:color="C0C0C0"/>
              <w:right w:val="single" w:sz="4" w:space="0" w:color="BFBFBF"/>
            </w:tcBorders>
            <w:shd w:val="clear" w:color="auto" w:fill="A6A6A6"/>
            <w:vAlign w:val="center"/>
            <w:hideMark/>
          </w:tcPr>
          <w:p w:rsidR="003E7B3E" w:rsidRPr="003E7B3E" w:rsidRDefault="003E7B3E">
            <w:pPr>
              <w:tabs>
                <w:tab w:val="left" w:pos="180"/>
              </w:tabs>
              <w:spacing w:after="0" w:line="360" w:lineRule="auto"/>
              <w:jc w:val="center"/>
              <w:rPr>
                <w:rFonts w:ascii="Arial" w:eastAsia="Times New Roman" w:hAnsi="Arial" w:cs="Arial"/>
                <w:bCs/>
                <w:color w:val="17365D"/>
                <w:sz w:val="22"/>
              </w:rPr>
            </w:pPr>
            <w:r w:rsidRPr="003E7B3E">
              <w:rPr>
                <w:rFonts w:ascii="Arial" w:eastAsia="Times New Roman" w:hAnsi="Arial" w:cs="Arial"/>
                <w:bCs/>
                <w:sz w:val="24"/>
                <w:szCs w:val="24"/>
              </w:rPr>
              <w:t>Fin del PEI 2024</w:t>
            </w:r>
          </w:p>
        </w:tc>
      </w:tr>
    </w:tbl>
    <w:p w:rsidR="003A099C" w:rsidRDefault="003A099C"/>
    <w:p w:rsidR="0027292A" w:rsidRDefault="0027292A"/>
    <w:p w:rsidR="003E7B3E" w:rsidRDefault="003E7B3E"/>
    <w:p w:rsidR="003E7B3E" w:rsidRDefault="003E7B3E"/>
    <w:p w:rsidR="003E7B3E" w:rsidRDefault="003E7B3E"/>
    <w:p w:rsidR="003E7B3E" w:rsidRPr="003E7B3E" w:rsidRDefault="003E7B3E" w:rsidP="00E47275">
      <w:pPr>
        <w:pStyle w:val="Ttulo1"/>
      </w:pPr>
      <w:bookmarkStart w:id="61" w:name="_Toc71719930"/>
      <w:bookmarkStart w:id="62" w:name="_Toc80090964"/>
      <w:bookmarkStart w:id="63" w:name="_Toc80177709"/>
      <w:r w:rsidRPr="003E7B3E">
        <w:t>CONTROL DE MODIFICACIONES DEL MANUAL</w:t>
      </w:r>
      <w:bookmarkEnd w:id="61"/>
      <w:bookmarkEnd w:id="62"/>
      <w:bookmarkEnd w:id="63"/>
    </w:p>
    <w:p w:rsidR="003E7B3E" w:rsidRPr="003E7B3E" w:rsidRDefault="003E7B3E" w:rsidP="003E7B3E"/>
    <w:p w:rsidR="003E7B3E" w:rsidRPr="003E7B3E" w:rsidRDefault="00D87D43" w:rsidP="003E7B3E">
      <w:r>
        <w:rPr>
          <w:noProof/>
        </w:rPr>
        <w:pict>
          <v:shapetype id="_x0000_t202" coordsize="21600,21600" o:spt="202" path="m,l,21600r21600,l21600,xe">
            <v:stroke joinstyle="miter"/>
            <v:path gradientshapeok="t" o:connecttype="rect"/>
          </v:shapetype>
          <v:shape id="Text Box 9" o:spid="_x0000_s2053" type="#_x0000_t202" style="position:absolute;left:0;text-align:left;margin-left:0;margin-top:.95pt;width:219.75pt;height:99.75pt;z-index:251657728;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" filled="f" stroked="f">
            <v:textbox>
              <w:txbxContent>
                <w:p w:rsidR="003E7B3E" w:rsidRDefault="003E7B3E" w:rsidP="003E7B3E">
                  <w:pPr>
                    <w:tabs>
                      <w:tab w:val="center" w:pos="4320"/>
                      <w:tab w:val="right" w:pos="8640"/>
                    </w:tabs>
                    <w:spacing w:after="0"/>
                    <w:jc w:val="center"/>
                    <w:rPr>
                      <w:rFonts w:ascii="Arial" w:hAnsi="Arial" w:cs="Arial"/>
                      <w:bCs/>
                      <w:color w:val="002060"/>
                      <w:sz w:val="24"/>
                      <w:szCs w:val="24"/>
                    </w:rPr>
                  </w:pPr>
                  <w:r>
                    <w:rPr>
                      <w:rFonts w:ascii="Arial" w:hAnsi="Arial" w:cs="Arial"/>
                      <w:b w:val="0"/>
                      <w:bCs/>
                      <w:color w:val="002060"/>
                      <w:sz w:val="24"/>
                      <w:szCs w:val="24"/>
                    </w:rPr>
                    <w:t>Elaborado por:</w:t>
                  </w:r>
                </w:p>
                <w:p w:rsidR="003E7B3E" w:rsidRDefault="003E7B3E" w:rsidP="003E7B3E">
                  <w:pPr>
                    <w:spacing w:after="0"/>
                    <w:jc w:val="center"/>
                    <w:rPr>
                      <w:rFonts w:ascii="Arial" w:hAnsi="Arial" w:cs="Arial"/>
                      <w:b w:val="0"/>
                      <w:color w:val="002060"/>
                      <w:sz w:val="24"/>
                      <w:szCs w:val="24"/>
                    </w:rPr>
                  </w:pPr>
                </w:p>
                <w:p w:rsidR="003E7B3E" w:rsidRDefault="003E7B3E" w:rsidP="003E7B3E">
                  <w:pPr>
                    <w:spacing w:after="0"/>
                    <w:jc w:val="center"/>
                    <w:rPr>
                      <w:rFonts w:ascii="Arial" w:hAnsi="Arial" w:cs="Arial"/>
                      <w:color w:val="002060"/>
                      <w:sz w:val="24"/>
                      <w:szCs w:val="24"/>
                    </w:rPr>
                  </w:pPr>
                </w:p>
                <w:p w:rsidR="003E7B3E" w:rsidRDefault="003E7B3E" w:rsidP="003E7B3E">
                  <w:pPr>
                    <w:spacing w:after="0"/>
                    <w:jc w:val="center"/>
                    <w:rPr>
                      <w:rFonts w:ascii="Arial" w:hAnsi="Arial" w:cs="Arial"/>
                      <w:color w:val="002060"/>
                      <w:sz w:val="24"/>
                      <w:szCs w:val="24"/>
                    </w:rPr>
                  </w:pPr>
                  <w:r>
                    <w:rPr>
                      <w:noProof/>
                      <w:sz w:val="20"/>
                      <w:szCs w:val="20"/>
                      <w:lang w:eastAsia="es-DO"/>
                    </w:rPr>
                    <w:drawing>
                      <wp:inline distT="0" distB="0" distL="0" distR="0">
                        <wp:extent cx="2612390" cy="120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12390" cy="12065"/>
                                </a:xfrm>
                                <a:prstGeom prst="rect">
                                  <a:avLst/>
                                </a:prstGeom>
                                <a:noFill/>
                                <a:ln>
                                  <a:noFill/>
                                </a:ln>
                              </pic:spPr>
                            </pic:pic>
                          </a:graphicData>
                        </a:graphic>
                      </wp:inline>
                    </w:drawing>
                  </w:r>
                </w:p>
                <w:p w:rsidR="003E7B3E" w:rsidRPr="00DD04C3" w:rsidRDefault="003E7B3E" w:rsidP="003E7B3E">
                  <w:pPr>
                    <w:spacing w:after="0"/>
                    <w:jc w:val="center"/>
                    <w:rPr>
                      <w:rFonts w:ascii="Arial" w:hAnsi="Arial" w:cs="Arial"/>
                      <w:bCs/>
                      <w:color w:val="002060"/>
                      <w:sz w:val="24"/>
                      <w:szCs w:val="24"/>
                    </w:rPr>
                  </w:pPr>
                  <w:r w:rsidRPr="00DD04C3">
                    <w:rPr>
                      <w:rFonts w:ascii="Arial" w:hAnsi="Arial" w:cs="Arial"/>
                      <w:bCs/>
                      <w:color w:val="002060"/>
                      <w:sz w:val="24"/>
                      <w:szCs w:val="24"/>
                    </w:rPr>
                    <w:t>Isaac Terrero Sánchez</w:t>
                  </w:r>
                </w:p>
                <w:p w:rsidR="003E7B3E" w:rsidRPr="00DD04C3" w:rsidRDefault="003E7B3E" w:rsidP="003E7B3E">
                  <w:pPr>
                    <w:spacing w:after="0"/>
                    <w:jc w:val="center"/>
                    <w:rPr>
                      <w:rFonts w:ascii="Arial" w:hAnsi="Arial" w:cs="Arial"/>
                      <w:b w:val="0"/>
                      <w:bCs/>
                      <w:color w:val="002060"/>
                      <w:sz w:val="24"/>
                      <w:szCs w:val="24"/>
                    </w:rPr>
                  </w:pPr>
                  <w:r w:rsidRPr="00DD04C3">
                    <w:rPr>
                      <w:rFonts w:ascii="Arial" w:hAnsi="Arial" w:cs="Arial"/>
                      <w:b w:val="0"/>
                      <w:bCs/>
                      <w:color w:val="002060"/>
                      <w:sz w:val="24"/>
                      <w:szCs w:val="24"/>
                    </w:rPr>
                    <w:t>Enc. Planificación y Desarrollo</w:t>
                  </w:r>
                </w:p>
              </w:txbxContent>
            </v:textbox>
            <w10:wrap anchorx="margin"/>
          </v:shape>
        </w:pict>
      </w:r>
      <w:r>
        <w:rPr>
          <w:noProof/>
        </w:rPr>
        <w:pict>
          <v:line id="Straight Connector 34" o:spid="_x0000_s2052" style="position:absolute;left:0;text-align:left;z-index:251663360;visibility:visible" from="22.55pt,56.6pt" to="216.8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">
            <o:lock v:ext="edit" shapetype="f"/>
          </v:line>
        </w:pict>
      </w:r>
      <w:r>
        <w:rPr>
          <w:noProof/>
        </w:rPr>
        <w:pict>
          <v:shape id="Text Box 29" o:spid="_x0000_s2051" type="#_x0000_t202" style="position:absolute;left:0;text-align:left;margin-left:466.8pt;margin-top:.4pt;width:279pt;height:103.3pt;z-index:251658752;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" filled="f" stroked="f">
            <v:textbox>
              <w:txbxContent>
                <w:p w:rsidR="003E7B3E" w:rsidRDefault="003E7B3E" w:rsidP="003E7B3E">
                  <w:pPr>
                    <w:tabs>
                      <w:tab w:val="center" w:pos="4320"/>
                      <w:tab w:val="right" w:pos="8640"/>
                    </w:tabs>
                    <w:spacing w:after="0"/>
                    <w:jc w:val="center"/>
                    <w:rPr>
                      <w:rFonts w:ascii="Arial" w:hAnsi="Arial" w:cs="Arial"/>
                      <w:bCs/>
                      <w:color w:val="002060"/>
                      <w:sz w:val="24"/>
                      <w:szCs w:val="24"/>
                    </w:rPr>
                  </w:pPr>
                  <w:r>
                    <w:rPr>
                      <w:rFonts w:ascii="Arial" w:hAnsi="Arial" w:cs="Arial"/>
                      <w:b w:val="0"/>
                      <w:bCs/>
                      <w:color w:val="002060"/>
                      <w:sz w:val="24"/>
                      <w:szCs w:val="24"/>
                    </w:rPr>
                    <w:t>Aprobado por:</w:t>
                  </w:r>
                </w:p>
                <w:p w:rsidR="003E7B3E" w:rsidRDefault="003E7B3E" w:rsidP="003E7B3E">
                  <w:pPr>
                    <w:spacing w:after="0"/>
                    <w:jc w:val="center"/>
                    <w:rPr>
                      <w:rFonts w:ascii="Arial" w:hAnsi="Arial" w:cs="Arial"/>
                      <w:b w:val="0"/>
                      <w:bCs/>
                      <w:color w:val="002060"/>
                      <w:sz w:val="24"/>
                      <w:szCs w:val="24"/>
                    </w:rPr>
                  </w:pPr>
                </w:p>
                <w:p w:rsidR="003E7B3E" w:rsidRDefault="003E7B3E" w:rsidP="003E7B3E">
                  <w:pPr>
                    <w:spacing w:after="0"/>
                    <w:jc w:val="center"/>
                    <w:rPr>
                      <w:rFonts w:ascii="Arial" w:hAnsi="Arial" w:cs="Arial"/>
                      <w:bCs/>
                      <w:color w:val="002060"/>
                      <w:sz w:val="24"/>
                      <w:szCs w:val="24"/>
                    </w:rPr>
                  </w:pPr>
                  <w:r>
                    <w:rPr>
                      <w:noProof/>
                      <w:sz w:val="20"/>
                      <w:szCs w:val="20"/>
                      <w:lang w:eastAsia="es-DO"/>
                    </w:rPr>
                    <w:drawing>
                      <wp:inline distT="0" distB="0" distL="0" distR="0">
                        <wp:extent cx="2755265" cy="1206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55265" cy="12065"/>
                                </a:xfrm>
                                <a:prstGeom prst="rect">
                                  <a:avLst/>
                                </a:prstGeom>
                                <a:noFill/>
                                <a:ln>
                                  <a:noFill/>
                                </a:ln>
                              </pic:spPr>
                            </pic:pic>
                          </a:graphicData>
                        </a:graphic>
                      </wp:inline>
                    </w:drawing>
                  </w:r>
                </w:p>
                <w:p w:rsidR="003E7B3E" w:rsidRDefault="003E7B3E" w:rsidP="003E7B3E">
                  <w:pPr>
                    <w:spacing w:after="0"/>
                    <w:jc w:val="center"/>
                    <w:rPr>
                      <w:rFonts w:ascii="Arial" w:hAnsi="Arial" w:cs="Arial"/>
                      <w:bCs/>
                      <w:color w:val="002060"/>
                      <w:sz w:val="24"/>
                      <w:szCs w:val="24"/>
                    </w:rPr>
                  </w:pPr>
                </w:p>
                <w:p w:rsidR="003E7B3E" w:rsidRPr="00DD04C3" w:rsidRDefault="003E7B3E" w:rsidP="003E7B3E">
                  <w:pPr>
                    <w:spacing w:after="0"/>
                    <w:jc w:val="center"/>
                    <w:rPr>
                      <w:rFonts w:ascii="Arial" w:hAnsi="Arial" w:cs="Arial"/>
                      <w:color w:val="002060"/>
                      <w:sz w:val="24"/>
                      <w:szCs w:val="24"/>
                    </w:rPr>
                  </w:pPr>
                  <w:r w:rsidRPr="00DD04C3">
                    <w:rPr>
                      <w:rFonts w:ascii="Arial" w:hAnsi="Arial" w:cs="Arial"/>
                      <w:color w:val="002060"/>
                      <w:sz w:val="24"/>
                      <w:szCs w:val="24"/>
                    </w:rPr>
                    <w:t>Máximo Pérez Pérez</w:t>
                  </w:r>
                </w:p>
                <w:p w:rsidR="003E7B3E" w:rsidRPr="00DD04C3" w:rsidRDefault="003E7B3E" w:rsidP="003E7B3E">
                  <w:pPr>
                    <w:spacing w:after="0"/>
                    <w:jc w:val="center"/>
                    <w:rPr>
                      <w:rFonts w:ascii="Arial" w:hAnsi="Arial" w:cs="Arial"/>
                      <w:b w:val="0"/>
                      <w:color w:val="002060"/>
                      <w:sz w:val="24"/>
                      <w:szCs w:val="24"/>
                    </w:rPr>
                  </w:pPr>
                  <w:r w:rsidRPr="00DD04C3">
                    <w:rPr>
                      <w:rFonts w:ascii="Arial" w:hAnsi="Arial" w:cs="Arial"/>
                      <w:b w:val="0"/>
                      <w:color w:val="002060"/>
                      <w:sz w:val="24"/>
                      <w:szCs w:val="24"/>
                    </w:rPr>
                    <w:t>Director Ejecutivo</w:t>
                  </w:r>
                </w:p>
                <w:p w:rsidR="003E7B3E" w:rsidRDefault="003E7B3E" w:rsidP="003E7B3E">
                  <w:pPr>
                    <w:jc w:val="center"/>
                    <w:rPr>
                      <w:rFonts w:ascii="Arial" w:hAnsi="Arial" w:cs="Arial"/>
                      <w:bCs/>
                      <w:color w:val="002060"/>
                      <w:sz w:val="24"/>
                      <w:szCs w:val="24"/>
                    </w:rPr>
                  </w:pPr>
                </w:p>
                <w:p w:rsidR="003E7B3E" w:rsidRDefault="003E7B3E" w:rsidP="003E7B3E">
                  <w:pPr>
                    <w:jc w:val="center"/>
                    <w:rPr>
                      <w:rFonts w:ascii="Arial" w:hAnsi="Arial" w:cs="Arial"/>
                      <w:bCs/>
                      <w:color w:val="002060"/>
                      <w:sz w:val="24"/>
                      <w:szCs w:val="24"/>
                    </w:rPr>
                  </w:pPr>
                </w:p>
              </w:txbxContent>
            </v:textbox>
            <w10:wrap anchorx="margin"/>
          </v:shape>
        </w:pict>
      </w:r>
      <w:r>
        <w:rPr>
          <w:noProof/>
        </w:rPr>
        <w:pict>
          <v:line id="Straight Connector 38" o:spid="_x0000_s2050" style="position:absolute;left:0;text-align:left;z-index:251664384;visibility:visible" from="234.8pt,57.35pt" to="432.05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">
            <o:lock v:ext="edit" shapetype="f"/>
          </v:line>
        </w:pict>
      </w:r>
    </w:p>
    <w:p w:rsidR="003E7B3E" w:rsidRPr="003E7B3E" w:rsidRDefault="003E7B3E" w:rsidP="003E7B3E"/>
    <w:p w:rsidR="003E7B3E" w:rsidRPr="003E7B3E" w:rsidRDefault="003E7B3E" w:rsidP="003E7B3E"/>
    <w:p w:rsidR="003E7B3E" w:rsidRPr="003E7B3E" w:rsidRDefault="003E7B3E" w:rsidP="003E7B3E"/>
    <w:p w:rsidR="003E7B3E" w:rsidRPr="003E7B3E" w:rsidRDefault="003E7B3E" w:rsidP="003E7B3E"/>
    <w:p w:rsidR="003E7B3E" w:rsidRPr="003E7B3E" w:rsidRDefault="003E7B3E" w:rsidP="003E7B3E"/>
    <w:p w:rsidR="003E7B3E" w:rsidRPr="003E7B3E" w:rsidRDefault="003E7B3E" w:rsidP="003E7B3E"/>
    <w:tbl>
      <w:tblPr>
        <w:tblpPr w:leftFromText="141" w:rightFromText="141" w:topFromText="100" w:bottomFromText="100" w:vertAnchor="page" w:horzAnchor="margin" w:tblpY="1890"/>
        <w:tblW w:w="9131" w:type="dxa"/>
        <w:tblBorders>
          <w:insideH w:val="single" w:sz="18" w:space="0" w:color="FFFFFF"/>
          <w:insideV w:val="single" w:sz="18" w:space="0" w:color="FFFFFF"/>
        </w:tblBorders>
        <w:tblLook w:val="01E0"/>
      </w:tblPr>
      <w:tblGrid>
        <w:gridCol w:w="1143"/>
        <w:gridCol w:w="4165"/>
        <w:gridCol w:w="2531"/>
        <w:gridCol w:w="1292"/>
      </w:tblGrid>
      <w:tr w:rsidR="003E7B3E" w:rsidRPr="003E7B3E" w:rsidTr="003E7B3E">
        <w:trPr>
          <w:trHeight w:val="371"/>
        </w:trPr>
        <w:tc>
          <w:tcPr>
            <w:tcW w:w="1143" w:type="dxa"/>
            <w:tcBorders>
              <w:top w:val="nil"/>
              <w:left w:val="nil"/>
              <w:bottom w:val="single" w:sz="18" w:space="0" w:color="FFFFFF"/>
              <w:right w:val="single" w:sz="18" w:space="0" w:color="FFFFFF"/>
            </w:tcBorders>
            <w:shd w:val="pct20" w:color="000000" w:fill="FFFFFF"/>
            <w:hideMark/>
          </w:tcPr>
          <w:p w:rsidR="003E7B3E" w:rsidRPr="003E7B3E" w:rsidRDefault="003E7B3E" w:rsidP="003E7B3E">
            <w:pPr>
              <w:rPr>
                <w:bCs/>
              </w:rPr>
            </w:pPr>
            <w:r w:rsidRPr="003E7B3E">
              <w:rPr>
                <w:bCs/>
              </w:rPr>
              <w:t>REV.</w:t>
            </w:r>
          </w:p>
        </w:tc>
        <w:tc>
          <w:tcPr>
            <w:tcW w:w="4165" w:type="dxa"/>
            <w:tcBorders>
              <w:top w:val="nil"/>
              <w:left w:val="single" w:sz="18" w:space="0" w:color="FFFFFF"/>
              <w:bottom w:val="single" w:sz="18" w:space="0" w:color="FFFFFF"/>
              <w:right w:val="single" w:sz="18" w:space="0" w:color="FFFFFF"/>
            </w:tcBorders>
            <w:shd w:val="pct20" w:color="000000" w:fill="FFFFFF"/>
            <w:hideMark/>
          </w:tcPr>
          <w:p w:rsidR="003E7B3E" w:rsidRPr="003E7B3E" w:rsidRDefault="003E7B3E" w:rsidP="003E7B3E">
            <w:pPr>
              <w:rPr>
                <w:bCs/>
              </w:rPr>
            </w:pPr>
            <w:r w:rsidRPr="003E7B3E">
              <w:rPr>
                <w:bCs/>
              </w:rPr>
              <w:t>DESCRIPCIÓN DEL CAMBIO</w:t>
            </w:r>
          </w:p>
        </w:tc>
        <w:tc>
          <w:tcPr>
            <w:tcW w:w="2531" w:type="dxa"/>
            <w:tcBorders>
              <w:top w:val="nil"/>
              <w:left w:val="single" w:sz="18" w:space="0" w:color="FFFFFF"/>
              <w:bottom w:val="single" w:sz="18" w:space="0" w:color="FFFFFF"/>
              <w:right w:val="single" w:sz="18" w:space="0" w:color="FFFFFF"/>
            </w:tcBorders>
            <w:shd w:val="pct20" w:color="000000" w:fill="FFFFFF"/>
            <w:hideMark/>
          </w:tcPr>
          <w:p w:rsidR="003E7B3E" w:rsidRPr="003E7B3E" w:rsidRDefault="003E7B3E" w:rsidP="003E7B3E">
            <w:pPr>
              <w:rPr>
                <w:bCs/>
              </w:rPr>
            </w:pPr>
            <w:r w:rsidRPr="003E7B3E">
              <w:rPr>
                <w:bCs/>
              </w:rPr>
              <w:t>APROBACIÓN DEL CAMBIO</w:t>
            </w:r>
          </w:p>
        </w:tc>
        <w:tc>
          <w:tcPr>
            <w:tcW w:w="1292" w:type="dxa"/>
            <w:tcBorders>
              <w:top w:val="nil"/>
              <w:left w:val="single" w:sz="18" w:space="0" w:color="FFFFFF"/>
              <w:bottom w:val="single" w:sz="18" w:space="0" w:color="FFFFFF"/>
              <w:right w:val="nil"/>
            </w:tcBorders>
            <w:shd w:val="pct20" w:color="000000" w:fill="FFFFFF"/>
            <w:hideMark/>
          </w:tcPr>
          <w:p w:rsidR="003E7B3E" w:rsidRPr="003E7B3E" w:rsidRDefault="003E7B3E" w:rsidP="003E7B3E">
            <w:pPr>
              <w:rPr>
                <w:bCs/>
              </w:rPr>
            </w:pPr>
            <w:r w:rsidRPr="003E7B3E">
              <w:rPr>
                <w:bCs/>
              </w:rPr>
              <w:t>FECHA</w:t>
            </w:r>
          </w:p>
        </w:tc>
      </w:tr>
      <w:tr w:rsidR="003E7B3E" w:rsidRPr="003E7B3E" w:rsidTr="003E7B3E">
        <w:trPr>
          <w:trHeight w:val="286"/>
        </w:trPr>
        <w:tc>
          <w:tcPr>
            <w:tcW w:w="1143" w:type="dxa"/>
            <w:tcBorders>
              <w:top w:val="single" w:sz="18" w:space="0" w:color="FFFFFF"/>
              <w:left w:val="nil"/>
              <w:bottom w:val="single" w:sz="18" w:space="0" w:color="FFFFFF"/>
              <w:right w:val="single" w:sz="18" w:space="0" w:color="FFFFFF"/>
            </w:tcBorders>
            <w:shd w:val="pct5" w:color="000000" w:fill="FFFFFF"/>
          </w:tcPr>
          <w:p w:rsidR="003E7B3E" w:rsidRPr="003E7B3E" w:rsidRDefault="003E7B3E" w:rsidP="003E7B3E"/>
        </w:tc>
        <w:tc>
          <w:tcPr>
            <w:tcW w:w="4165" w:type="dxa"/>
            <w:tcBorders>
              <w:top w:val="single" w:sz="18" w:space="0" w:color="FFFFFF"/>
              <w:left w:val="single" w:sz="18" w:space="0" w:color="FFFFFF"/>
              <w:bottom w:val="single" w:sz="18" w:space="0" w:color="FFFFFF"/>
              <w:right w:val="single" w:sz="18" w:space="0" w:color="FFFFFF"/>
            </w:tcBorders>
            <w:shd w:val="pct5" w:color="000000" w:fill="FFFFFF"/>
          </w:tcPr>
          <w:p w:rsidR="003E7B3E" w:rsidRPr="003E7B3E" w:rsidRDefault="003E7B3E" w:rsidP="003E7B3E"/>
        </w:tc>
        <w:tc>
          <w:tcPr>
            <w:tcW w:w="2531" w:type="dxa"/>
            <w:tcBorders>
              <w:top w:val="single" w:sz="18" w:space="0" w:color="FFFFFF"/>
              <w:left w:val="single" w:sz="18" w:space="0" w:color="FFFFFF"/>
              <w:bottom w:val="single" w:sz="18" w:space="0" w:color="FFFFFF"/>
              <w:right w:val="single" w:sz="18" w:space="0" w:color="FFFFFF"/>
            </w:tcBorders>
            <w:shd w:val="pct5" w:color="000000" w:fill="FFFFFF"/>
          </w:tcPr>
          <w:p w:rsidR="003E7B3E" w:rsidRPr="003E7B3E" w:rsidRDefault="003E7B3E" w:rsidP="003E7B3E"/>
        </w:tc>
        <w:tc>
          <w:tcPr>
            <w:tcW w:w="1292" w:type="dxa"/>
            <w:tcBorders>
              <w:top w:val="single" w:sz="18" w:space="0" w:color="FFFFFF"/>
              <w:left w:val="single" w:sz="18" w:space="0" w:color="FFFFFF"/>
              <w:bottom w:val="single" w:sz="18" w:space="0" w:color="FFFFFF"/>
              <w:right w:val="nil"/>
            </w:tcBorders>
            <w:shd w:val="pct5" w:color="000000" w:fill="FFFFFF"/>
          </w:tcPr>
          <w:p w:rsidR="003E7B3E" w:rsidRPr="003E7B3E" w:rsidRDefault="003E7B3E" w:rsidP="003E7B3E"/>
        </w:tc>
      </w:tr>
      <w:tr w:rsidR="003E7B3E" w:rsidRPr="003E7B3E" w:rsidTr="003E7B3E">
        <w:trPr>
          <w:trHeight w:val="308"/>
        </w:trPr>
        <w:tc>
          <w:tcPr>
            <w:tcW w:w="1143" w:type="dxa"/>
            <w:tcBorders>
              <w:top w:val="single" w:sz="18" w:space="0" w:color="FFFFFF"/>
              <w:left w:val="nil"/>
              <w:bottom w:val="single" w:sz="18" w:space="0" w:color="FFFFFF"/>
              <w:right w:val="single" w:sz="18" w:space="0" w:color="FFFFFF"/>
            </w:tcBorders>
            <w:shd w:val="pct20" w:color="000000" w:fill="FFFFFF"/>
          </w:tcPr>
          <w:p w:rsidR="003E7B3E" w:rsidRPr="003E7B3E" w:rsidRDefault="003E7B3E" w:rsidP="003E7B3E"/>
        </w:tc>
        <w:tc>
          <w:tcPr>
            <w:tcW w:w="4165" w:type="dxa"/>
            <w:tcBorders>
              <w:top w:val="single" w:sz="18" w:space="0" w:color="FFFFFF"/>
              <w:left w:val="single" w:sz="18" w:space="0" w:color="FFFFFF"/>
              <w:bottom w:val="single" w:sz="18" w:space="0" w:color="FFFFFF"/>
              <w:right w:val="single" w:sz="18" w:space="0" w:color="FFFFFF"/>
            </w:tcBorders>
            <w:shd w:val="pct20" w:color="000000" w:fill="FFFFFF"/>
          </w:tcPr>
          <w:p w:rsidR="003E7B3E" w:rsidRPr="003E7B3E" w:rsidRDefault="003E7B3E" w:rsidP="003E7B3E"/>
        </w:tc>
        <w:tc>
          <w:tcPr>
            <w:tcW w:w="2531" w:type="dxa"/>
            <w:tcBorders>
              <w:top w:val="single" w:sz="18" w:space="0" w:color="FFFFFF"/>
              <w:left w:val="single" w:sz="18" w:space="0" w:color="FFFFFF"/>
              <w:bottom w:val="single" w:sz="18" w:space="0" w:color="FFFFFF"/>
              <w:right w:val="single" w:sz="18" w:space="0" w:color="FFFFFF"/>
            </w:tcBorders>
            <w:shd w:val="pct20" w:color="000000" w:fill="FFFFFF"/>
          </w:tcPr>
          <w:p w:rsidR="003E7B3E" w:rsidRPr="003E7B3E" w:rsidRDefault="003E7B3E" w:rsidP="003E7B3E"/>
        </w:tc>
        <w:tc>
          <w:tcPr>
            <w:tcW w:w="1292" w:type="dxa"/>
            <w:tcBorders>
              <w:top w:val="single" w:sz="18" w:space="0" w:color="FFFFFF"/>
              <w:left w:val="single" w:sz="18" w:space="0" w:color="FFFFFF"/>
              <w:bottom w:val="single" w:sz="18" w:space="0" w:color="FFFFFF"/>
              <w:right w:val="nil"/>
            </w:tcBorders>
            <w:shd w:val="pct20" w:color="000000" w:fill="FFFFFF"/>
          </w:tcPr>
          <w:p w:rsidR="003E7B3E" w:rsidRPr="003E7B3E" w:rsidRDefault="003E7B3E" w:rsidP="003E7B3E"/>
        </w:tc>
      </w:tr>
      <w:tr w:rsidR="003E7B3E" w:rsidRPr="003E7B3E" w:rsidTr="003E7B3E">
        <w:trPr>
          <w:trHeight w:val="286"/>
        </w:trPr>
        <w:tc>
          <w:tcPr>
            <w:tcW w:w="1143" w:type="dxa"/>
            <w:tcBorders>
              <w:top w:val="single" w:sz="18" w:space="0" w:color="FFFFFF"/>
              <w:left w:val="nil"/>
              <w:bottom w:val="single" w:sz="18" w:space="0" w:color="FFFFFF"/>
              <w:right w:val="single" w:sz="18" w:space="0" w:color="FFFFFF"/>
            </w:tcBorders>
            <w:shd w:val="pct5" w:color="000000" w:fill="FFFFFF"/>
          </w:tcPr>
          <w:p w:rsidR="003E7B3E" w:rsidRPr="003E7B3E" w:rsidRDefault="003E7B3E" w:rsidP="003E7B3E"/>
        </w:tc>
        <w:tc>
          <w:tcPr>
            <w:tcW w:w="4165" w:type="dxa"/>
            <w:tcBorders>
              <w:top w:val="single" w:sz="18" w:space="0" w:color="FFFFFF"/>
              <w:left w:val="single" w:sz="18" w:space="0" w:color="FFFFFF"/>
              <w:bottom w:val="single" w:sz="18" w:space="0" w:color="FFFFFF"/>
              <w:right w:val="single" w:sz="18" w:space="0" w:color="FFFFFF"/>
            </w:tcBorders>
            <w:shd w:val="pct5" w:color="000000" w:fill="FFFFFF"/>
          </w:tcPr>
          <w:p w:rsidR="003E7B3E" w:rsidRPr="003E7B3E" w:rsidRDefault="003E7B3E" w:rsidP="003E7B3E"/>
        </w:tc>
        <w:tc>
          <w:tcPr>
            <w:tcW w:w="2531" w:type="dxa"/>
            <w:tcBorders>
              <w:top w:val="single" w:sz="18" w:space="0" w:color="FFFFFF"/>
              <w:left w:val="single" w:sz="18" w:space="0" w:color="FFFFFF"/>
              <w:bottom w:val="single" w:sz="18" w:space="0" w:color="FFFFFF"/>
              <w:right w:val="single" w:sz="18" w:space="0" w:color="FFFFFF"/>
            </w:tcBorders>
            <w:shd w:val="pct5" w:color="000000" w:fill="FFFFFF"/>
          </w:tcPr>
          <w:p w:rsidR="003E7B3E" w:rsidRPr="003E7B3E" w:rsidRDefault="003E7B3E" w:rsidP="003E7B3E"/>
        </w:tc>
        <w:tc>
          <w:tcPr>
            <w:tcW w:w="1292" w:type="dxa"/>
            <w:tcBorders>
              <w:top w:val="single" w:sz="18" w:space="0" w:color="FFFFFF"/>
              <w:left w:val="single" w:sz="18" w:space="0" w:color="FFFFFF"/>
              <w:bottom w:val="single" w:sz="18" w:space="0" w:color="FFFFFF"/>
              <w:right w:val="nil"/>
            </w:tcBorders>
            <w:shd w:val="pct5" w:color="000000" w:fill="FFFFFF"/>
          </w:tcPr>
          <w:p w:rsidR="003E7B3E" w:rsidRPr="003E7B3E" w:rsidRDefault="003E7B3E" w:rsidP="003E7B3E"/>
        </w:tc>
      </w:tr>
      <w:tr w:rsidR="003E7B3E" w:rsidRPr="003E7B3E" w:rsidTr="003E7B3E">
        <w:trPr>
          <w:trHeight w:val="286"/>
        </w:trPr>
        <w:tc>
          <w:tcPr>
            <w:tcW w:w="1143" w:type="dxa"/>
            <w:tcBorders>
              <w:top w:val="single" w:sz="18" w:space="0" w:color="FFFFFF"/>
              <w:left w:val="nil"/>
              <w:bottom w:val="single" w:sz="18" w:space="0" w:color="FFFFFF"/>
              <w:right w:val="single" w:sz="18" w:space="0" w:color="FFFFFF"/>
            </w:tcBorders>
            <w:shd w:val="pct20" w:color="000000" w:fill="FFFFFF"/>
          </w:tcPr>
          <w:p w:rsidR="003E7B3E" w:rsidRPr="003E7B3E" w:rsidRDefault="003E7B3E" w:rsidP="003E7B3E"/>
        </w:tc>
        <w:tc>
          <w:tcPr>
            <w:tcW w:w="4165" w:type="dxa"/>
            <w:tcBorders>
              <w:top w:val="single" w:sz="18" w:space="0" w:color="FFFFFF"/>
              <w:left w:val="single" w:sz="18" w:space="0" w:color="FFFFFF"/>
              <w:bottom w:val="single" w:sz="18" w:space="0" w:color="FFFFFF"/>
              <w:right w:val="single" w:sz="18" w:space="0" w:color="FFFFFF"/>
            </w:tcBorders>
            <w:shd w:val="pct20" w:color="000000" w:fill="FFFFFF"/>
          </w:tcPr>
          <w:p w:rsidR="003E7B3E" w:rsidRPr="003E7B3E" w:rsidRDefault="003E7B3E" w:rsidP="003E7B3E"/>
        </w:tc>
        <w:tc>
          <w:tcPr>
            <w:tcW w:w="2531" w:type="dxa"/>
            <w:tcBorders>
              <w:top w:val="single" w:sz="18" w:space="0" w:color="FFFFFF"/>
              <w:left w:val="single" w:sz="18" w:space="0" w:color="FFFFFF"/>
              <w:bottom w:val="single" w:sz="18" w:space="0" w:color="FFFFFF"/>
              <w:right w:val="single" w:sz="18" w:space="0" w:color="FFFFFF"/>
            </w:tcBorders>
            <w:shd w:val="pct20" w:color="000000" w:fill="FFFFFF"/>
          </w:tcPr>
          <w:p w:rsidR="003E7B3E" w:rsidRPr="003E7B3E" w:rsidRDefault="003E7B3E" w:rsidP="003E7B3E"/>
        </w:tc>
        <w:tc>
          <w:tcPr>
            <w:tcW w:w="1292" w:type="dxa"/>
            <w:tcBorders>
              <w:top w:val="single" w:sz="18" w:space="0" w:color="FFFFFF"/>
              <w:left w:val="single" w:sz="18" w:space="0" w:color="FFFFFF"/>
              <w:bottom w:val="single" w:sz="18" w:space="0" w:color="FFFFFF"/>
              <w:right w:val="nil"/>
            </w:tcBorders>
            <w:shd w:val="pct20" w:color="000000" w:fill="FFFFFF"/>
          </w:tcPr>
          <w:p w:rsidR="003E7B3E" w:rsidRPr="003E7B3E" w:rsidRDefault="003E7B3E" w:rsidP="003E7B3E"/>
        </w:tc>
      </w:tr>
      <w:tr w:rsidR="003E7B3E" w:rsidRPr="003E7B3E" w:rsidTr="003E7B3E">
        <w:trPr>
          <w:trHeight w:val="286"/>
        </w:trPr>
        <w:tc>
          <w:tcPr>
            <w:tcW w:w="1143" w:type="dxa"/>
            <w:tcBorders>
              <w:top w:val="single" w:sz="18" w:space="0" w:color="FFFFFF"/>
              <w:left w:val="nil"/>
              <w:bottom w:val="single" w:sz="18" w:space="0" w:color="FFFFFF"/>
              <w:right w:val="single" w:sz="18" w:space="0" w:color="FFFFFF"/>
            </w:tcBorders>
            <w:shd w:val="pct5" w:color="000000" w:fill="FFFFFF"/>
          </w:tcPr>
          <w:p w:rsidR="003E7B3E" w:rsidRPr="003E7B3E" w:rsidRDefault="003E7B3E" w:rsidP="003E7B3E"/>
        </w:tc>
        <w:tc>
          <w:tcPr>
            <w:tcW w:w="4165" w:type="dxa"/>
            <w:tcBorders>
              <w:top w:val="single" w:sz="18" w:space="0" w:color="FFFFFF"/>
              <w:left w:val="single" w:sz="18" w:space="0" w:color="FFFFFF"/>
              <w:bottom w:val="single" w:sz="18" w:space="0" w:color="FFFFFF"/>
              <w:right w:val="single" w:sz="18" w:space="0" w:color="FFFFFF"/>
            </w:tcBorders>
            <w:shd w:val="pct5" w:color="000000" w:fill="FFFFFF"/>
          </w:tcPr>
          <w:p w:rsidR="003E7B3E" w:rsidRPr="003E7B3E" w:rsidRDefault="003E7B3E" w:rsidP="003E7B3E"/>
        </w:tc>
        <w:tc>
          <w:tcPr>
            <w:tcW w:w="2531" w:type="dxa"/>
            <w:tcBorders>
              <w:top w:val="single" w:sz="18" w:space="0" w:color="FFFFFF"/>
              <w:left w:val="single" w:sz="18" w:space="0" w:color="FFFFFF"/>
              <w:bottom w:val="single" w:sz="18" w:space="0" w:color="FFFFFF"/>
              <w:right w:val="single" w:sz="18" w:space="0" w:color="FFFFFF"/>
            </w:tcBorders>
            <w:shd w:val="pct5" w:color="000000" w:fill="FFFFFF"/>
          </w:tcPr>
          <w:p w:rsidR="003E7B3E" w:rsidRPr="003E7B3E" w:rsidRDefault="003E7B3E" w:rsidP="003E7B3E"/>
        </w:tc>
        <w:tc>
          <w:tcPr>
            <w:tcW w:w="1292" w:type="dxa"/>
            <w:tcBorders>
              <w:top w:val="single" w:sz="18" w:space="0" w:color="FFFFFF"/>
              <w:left w:val="single" w:sz="18" w:space="0" w:color="FFFFFF"/>
              <w:bottom w:val="single" w:sz="18" w:space="0" w:color="FFFFFF"/>
              <w:right w:val="nil"/>
            </w:tcBorders>
            <w:shd w:val="pct5" w:color="000000" w:fill="FFFFFF"/>
          </w:tcPr>
          <w:p w:rsidR="003E7B3E" w:rsidRPr="003E7B3E" w:rsidRDefault="003E7B3E" w:rsidP="003E7B3E"/>
        </w:tc>
      </w:tr>
      <w:tr w:rsidR="003E7B3E" w:rsidRPr="003E7B3E" w:rsidTr="003E7B3E">
        <w:trPr>
          <w:trHeight w:val="308"/>
        </w:trPr>
        <w:tc>
          <w:tcPr>
            <w:tcW w:w="1143" w:type="dxa"/>
            <w:tcBorders>
              <w:top w:val="single" w:sz="18" w:space="0" w:color="FFFFFF"/>
              <w:left w:val="nil"/>
              <w:bottom w:val="single" w:sz="18" w:space="0" w:color="FFFFFF"/>
              <w:right w:val="single" w:sz="18" w:space="0" w:color="FFFFFF"/>
            </w:tcBorders>
            <w:shd w:val="pct20" w:color="000000" w:fill="FFFFFF"/>
          </w:tcPr>
          <w:p w:rsidR="003E7B3E" w:rsidRPr="003E7B3E" w:rsidRDefault="003E7B3E" w:rsidP="003E7B3E"/>
        </w:tc>
        <w:tc>
          <w:tcPr>
            <w:tcW w:w="4165" w:type="dxa"/>
            <w:tcBorders>
              <w:top w:val="single" w:sz="18" w:space="0" w:color="FFFFFF"/>
              <w:left w:val="single" w:sz="18" w:space="0" w:color="FFFFFF"/>
              <w:bottom w:val="single" w:sz="18" w:space="0" w:color="FFFFFF"/>
              <w:right w:val="single" w:sz="18" w:space="0" w:color="FFFFFF"/>
            </w:tcBorders>
            <w:shd w:val="pct20" w:color="000000" w:fill="FFFFFF"/>
          </w:tcPr>
          <w:p w:rsidR="003E7B3E" w:rsidRPr="003E7B3E" w:rsidRDefault="003E7B3E" w:rsidP="003E7B3E"/>
        </w:tc>
        <w:tc>
          <w:tcPr>
            <w:tcW w:w="2531" w:type="dxa"/>
            <w:tcBorders>
              <w:top w:val="single" w:sz="18" w:space="0" w:color="FFFFFF"/>
              <w:left w:val="single" w:sz="18" w:space="0" w:color="FFFFFF"/>
              <w:bottom w:val="single" w:sz="18" w:space="0" w:color="FFFFFF"/>
              <w:right w:val="single" w:sz="18" w:space="0" w:color="FFFFFF"/>
            </w:tcBorders>
            <w:shd w:val="pct20" w:color="000000" w:fill="FFFFFF"/>
          </w:tcPr>
          <w:p w:rsidR="003E7B3E" w:rsidRPr="003E7B3E" w:rsidRDefault="003E7B3E" w:rsidP="003E7B3E"/>
        </w:tc>
        <w:tc>
          <w:tcPr>
            <w:tcW w:w="1292" w:type="dxa"/>
            <w:tcBorders>
              <w:top w:val="single" w:sz="18" w:space="0" w:color="FFFFFF"/>
              <w:left w:val="single" w:sz="18" w:space="0" w:color="FFFFFF"/>
              <w:bottom w:val="single" w:sz="18" w:space="0" w:color="FFFFFF"/>
              <w:right w:val="nil"/>
            </w:tcBorders>
            <w:shd w:val="pct20" w:color="000000" w:fill="FFFFFF"/>
          </w:tcPr>
          <w:p w:rsidR="003E7B3E" w:rsidRPr="003E7B3E" w:rsidRDefault="003E7B3E" w:rsidP="003E7B3E"/>
        </w:tc>
      </w:tr>
      <w:tr w:rsidR="003E7B3E" w:rsidRPr="003E7B3E" w:rsidTr="003E7B3E">
        <w:trPr>
          <w:trHeight w:val="308"/>
        </w:trPr>
        <w:tc>
          <w:tcPr>
            <w:tcW w:w="1143" w:type="dxa"/>
            <w:tcBorders>
              <w:top w:val="single" w:sz="18" w:space="0" w:color="FFFFFF"/>
              <w:left w:val="nil"/>
              <w:bottom w:val="single" w:sz="18" w:space="0" w:color="FFFFFF"/>
              <w:right w:val="single" w:sz="18" w:space="0" w:color="FFFFFF"/>
            </w:tcBorders>
            <w:shd w:val="pct5" w:color="000000" w:fill="FFFFFF"/>
          </w:tcPr>
          <w:p w:rsidR="003E7B3E" w:rsidRPr="003E7B3E" w:rsidRDefault="003E7B3E" w:rsidP="003E7B3E"/>
        </w:tc>
        <w:tc>
          <w:tcPr>
            <w:tcW w:w="4165" w:type="dxa"/>
            <w:tcBorders>
              <w:top w:val="single" w:sz="18" w:space="0" w:color="FFFFFF"/>
              <w:left w:val="single" w:sz="18" w:space="0" w:color="FFFFFF"/>
              <w:bottom w:val="single" w:sz="18" w:space="0" w:color="FFFFFF"/>
              <w:right w:val="single" w:sz="18" w:space="0" w:color="FFFFFF"/>
            </w:tcBorders>
            <w:shd w:val="pct5" w:color="000000" w:fill="FFFFFF"/>
          </w:tcPr>
          <w:p w:rsidR="003E7B3E" w:rsidRPr="003E7B3E" w:rsidRDefault="003E7B3E" w:rsidP="003E7B3E"/>
        </w:tc>
        <w:tc>
          <w:tcPr>
            <w:tcW w:w="2531" w:type="dxa"/>
            <w:tcBorders>
              <w:top w:val="single" w:sz="18" w:space="0" w:color="FFFFFF"/>
              <w:left w:val="single" w:sz="18" w:space="0" w:color="FFFFFF"/>
              <w:bottom w:val="single" w:sz="18" w:space="0" w:color="FFFFFF"/>
              <w:right w:val="single" w:sz="18" w:space="0" w:color="FFFFFF"/>
            </w:tcBorders>
            <w:shd w:val="pct5" w:color="000000" w:fill="FFFFFF"/>
          </w:tcPr>
          <w:p w:rsidR="003E7B3E" w:rsidRPr="003E7B3E" w:rsidRDefault="003E7B3E" w:rsidP="003E7B3E"/>
        </w:tc>
        <w:tc>
          <w:tcPr>
            <w:tcW w:w="1292" w:type="dxa"/>
            <w:tcBorders>
              <w:top w:val="single" w:sz="18" w:space="0" w:color="FFFFFF"/>
              <w:left w:val="single" w:sz="18" w:space="0" w:color="FFFFFF"/>
              <w:bottom w:val="single" w:sz="18" w:space="0" w:color="FFFFFF"/>
              <w:right w:val="nil"/>
            </w:tcBorders>
            <w:shd w:val="pct5" w:color="000000" w:fill="FFFFFF"/>
          </w:tcPr>
          <w:p w:rsidR="003E7B3E" w:rsidRPr="003E7B3E" w:rsidRDefault="003E7B3E" w:rsidP="003E7B3E"/>
        </w:tc>
      </w:tr>
      <w:tr w:rsidR="003E7B3E" w:rsidRPr="003E7B3E" w:rsidTr="003E7B3E">
        <w:trPr>
          <w:trHeight w:val="308"/>
        </w:trPr>
        <w:tc>
          <w:tcPr>
            <w:tcW w:w="1143" w:type="dxa"/>
            <w:tcBorders>
              <w:top w:val="single" w:sz="18" w:space="0" w:color="FFFFFF"/>
              <w:left w:val="nil"/>
              <w:bottom w:val="single" w:sz="18" w:space="0" w:color="FFFFFF"/>
              <w:right w:val="single" w:sz="18" w:space="0" w:color="FFFFFF"/>
            </w:tcBorders>
            <w:shd w:val="pct20" w:color="000000" w:fill="FFFFFF"/>
          </w:tcPr>
          <w:p w:rsidR="003E7B3E" w:rsidRPr="003E7B3E" w:rsidRDefault="003E7B3E" w:rsidP="003E7B3E"/>
        </w:tc>
        <w:tc>
          <w:tcPr>
            <w:tcW w:w="4165" w:type="dxa"/>
            <w:tcBorders>
              <w:top w:val="single" w:sz="18" w:space="0" w:color="FFFFFF"/>
              <w:left w:val="single" w:sz="18" w:space="0" w:color="FFFFFF"/>
              <w:bottom w:val="single" w:sz="18" w:space="0" w:color="FFFFFF"/>
              <w:right w:val="single" w:sz="18" w:space="0" w:color="FFFFFF"/>
            </w:tcBorders>
            <w:shd w:val="pct20" w:color="000000" w:fill="FFFFFF"/>
          </w:tcPr>
          <w:p w:rsidR="003E7B3E" w:rsidRPr="003E7B3E" w:rsidRDefault="003E7B3E" w:rsidP="003E7B3E"/>
        </w:tc>
        <w:tc>
          <w:tcPr>
            <w:tcW w:w="2531" w:type="dxa"/>
            <w:tcBorders>
              <w:top w:val="single" w:sz="18" w:space="0" w:color="FFFFFF"/>
              <w:left w:val="single" w:sz="18" w:space="0" w:color="FFFFFF"/>
              <w:bottom w:val="single" w:sz="18" w:space="0" w:color="FFFFFF"/>
              <w:right w:val="single" w:sz="18" w:space="0" w:color="FFFFFF"/>
            </w:tcBorders>
            <w:shd w:val="pct20" w:color="000000" w:fill="FFFFFF"/>
          </w:tcPr>
          <w:p w:rsidR="003E7B3E" w:rsidRPr="003E7B3E" w:rsidRDefault="003E7B3E" w:rsidP="003E7B3E"/>
        </w:tc>
        <w:tc>
          <w:tcPr>
            <w:tcW w:w="1292" w:type="dxa"/>
            <w:tcBorders>
              <w:top w:val="single" w:sz="18" w:space="0" w:color="FFFFFF"/>
              <w:left w:val="single" w:sz="18" w:space="0" w:color="FFFFFF"/>
              <w:bottom w:val="single" w:sz="18" w:space="0" w:color="FFFFFF"/>
              <w:right w:val="nil"/>
            </w:tcBorders>
            <w:shd w:val="pct20" w:color="000000" w:fill="FFFFFF"/>
          </w:tcPr>
          <w:p w:rsidR="003E7B3E" w:rsidRPr="003E7B3E" w:rsidRDefault="003E7B3E" w:rsidP="003E7B3E"/>
        </w:tc>
      </w:tr>
      <w:tr w:rsidR="003E7B3E" w:rsidRPr="003E7B3E" w:rsidTr="003E7B3E">
        <w:trPr>
          <w:trHeight w:val="308"/>
        </w:trPr>
        <w:tc>
          <w:tcPr>
            <w:tcW w:w="1143" w:type="dxa"/>
            <w:tcBorders>
              <w:top w:val="single" w:sz="18" w:space="0" w:color="FFFFFF"/>
              <w:left w:val="nil"/>
              <w:bottom w:val="nil"/>
              <w:right w:val="single" w:sz="18" w:space="0" w:color="FFFFFF"/>
            </w:tcBorders>
            <w:shd w:val="pct5" w:color="000000" w:fill="FFFFFF"/>
          </w:tcPr>
          <w:p w:rsidR="003E7B3E" w:rsidRPr="003E7B3E" w:rsidRDefault="003E7B3E" w:rsidP="003E7B3E"/>
        </w:tc>
        <w:tc>
          <w:tcPr>
            <w:tcW w:w="4165" w:type="dxa"/>
            <w:tcBorders>
              <w:top w:val="single" w:sz="18" w:space="0" w:color="FFFFFF"/>
              <w:left w:val="single" w:sz="18" w:space="0" w:color="FFFFFF"/>
              <w:bottom w:val="nil"/>
              <w:right w:val="single" w:sz="18" w:space="0" w:color="FFFFFF"/>
            </w:tcBorders>
            <w:shd w:val="pct5" w:color="000000" w:fill="FFFFFF"/>
          </w:tcPr>
          <w:p w:rsidR="003E7B3E" w:rsidRPr="003E7B3E" w:rsidRDefault="003E7B3E" w:rsidP="003E7B3E"/>
        </w:tc>
        <w:tc>
          <w:tcPr>
            <w:tcW w:w="2531" w:type="dxa"/>
            <w:tcBorders>
              <w:top w:val="single" w:sz="18" w:space="0" w:color="FFFFFF"/>
              <w:left w:val="single" w:sz="18" w:space="0" w:color="FFFFFF"/>
              <w:bottom w:val="nil"/>
              <w:right w:val="single" w:sz="18" w:space="0" w:color="FFFFFF"/>
            </w:tcBorders>
            <w:shd w:val="pct5" w:color="000000" w:fill="FFFFFF"/>
          </w:tcPr>
          <w:p w:rsidR="003E7B3E" w:rsidRPr="003E7B3E" w:rsidRDefault="003E7B3E" w:rsidP="003E7B3E"/>
        </w:tc>
        <w:tc>
          <w:tcPr>
            <w:tcW w:w="1292" w:type="dxa"/>
            <w:tcBorders>
              <w:top w:val="single" w:sz="18" w:space="0" w:color="FFFFFF"/>
              <w:left w:val="single" w:sz="18" w:space="0" w:color="FFFFFF"/>
              <w:bottom w:val="nil"/>
              <w:right w:val="nil"/>
            </w:tcBorders>
            <w:shd w:val="pct5" w:color="000000" w:fill="FFFFFF"/>
          </w:tcPr>
          <w:p w:rsidR="003E7B3E" w:rsidRPr="003E7B3E" w:rsidRDefault="003E7B3E" w:rsidP="003E7B3E"/>
        </w:tc>
      </w:tr>
    </w:tbl>
    <w:p w:rsidR="003E7B3E" w:rsidRPr="003E7B3E" w:rsidRDefault="003E7B3E" w:rsidP="003E7B3E"/>
    <w:p w:rsidR="003E7B3E" w:rsidRPr="003E7B3E" w:rsidRDefault="003E7B3E" w:rsidP="003E7B3E"/>
    <w:p w:rsidR="003E7B3E" w:rsidRPr="003E7B3E" w:rsidRDefault="003E7B3E" w:rsidP="003E7B3E"/>
    <w:p w:rsidR="003E7B3E" w:rsidRDefault="003E7B3E"/>
    <w:p w:rsidR="003E7B3E" w:rsidRDefault="003E7B3E"/>
    <w:sectPr w:rsidR="003E7B3E" w:rsidSect="00D87D43">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DF1" w:rsidRDefault="00994DF1" w:rsidP="006B7C5D">
      <w:pPr>
        <w:spacing w:after="0" w:line="240" w:lineRule="auto"/>
      </w:pPr>
      <w:r>
        <w:separator/>
      </w:r>
    </w:p>
  </w:endnote>
  <w:endnote w:type="continuationSeparator" w:id="1">
    <w:p w:rsidR="00994DF1" w:rsidRDefault="00994DF1" w:rsidP="006B7C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0618049"/>
      <w:docPartObj>
        <w:docPartGallery w:val="Page Numbers (Bottom of Page)"/>
        <w:docPartUnique/>
      </w:docPartObj>
    </w:sdtPr>
    <w:sdtEndPr>
      <w:rPr>
        <w:noProof/>
      </w:rPr>
    </w:sdtEndPr>
    <w:sdtContent>
      <w:p w:rsidR="003E7B3E" w:rsidRDefault="00D87D43">
        <w:pPr>
          <w:pStyle w:val="Piedepgina"/>
          <w:jc w:val="center"/>
        </w:pPr>
        <w:r>
          <w:fldChar w:fldCharType="begin"/>
        </w:r>
        <w:r w:rsidR="003E7B3E">
          <w:instrText xml:space="preserve"> PAGE   \* MERGEFORMAT </w:instrText>
        </w:r>
        <w:r>
          <w:fldChar w:fldCharType="separate"/>
        </w:r>
        <w:r w:rsidR="00FF799D">
          <w:rPr>
            <w:noProof/>
          </w:rPr>
          <w:t>42</w:t>
        </w:r>
        <w:r>
          <w:rPr>
            <w:noProof/>
          </w:rPr>
          <w:fldChar w:fldCharType="end"/>
        </w:r>
      </w:p>
    </w:sdtContent>
  </w:sdt>
  <w:p w:rsidR="006F3287" w:rsidRDefault="006F328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DF1" w:rsidRDefault="00994DF1" w:rsidP="006B7C5D">
      <w:pPr>
        <w:spacing w:after="0" w:line="240" w:lineRule="auto"/>
      </w:pPr>
      <w:r>
        <w:separator/>
      </w:r>
    </w:p>
  </w:footnote>
  <w:footnote w:type="continuationSeparator" w:id="1">
    <w:p w:rsidR="00994DF1" w:rsidRDefault="00994DF1" w:rsidP="006B7C5D">
      <w:pPr>
        <w:spacing w:after="0" w:line="240" w:lineRule="auto"/>
      </w:pPr>
      <w:r>
        <w:continuationSeparator/>
      </w:r>
    </w:p>
  </w:footnote>
  <w:footnote w:id="2">
    <w:p w:rsidR="006B7C5D" w:rsidRPr="005163C0" w:rsidRDefault="006B7C5D" w:rsidP="006B7C5D">
      <w:pPr>
        <w:pStyle w:val="Textonotapie"/>
        <w:jc w:val="both"/>
        <w:rPr>
          <w:rFonts w:ascii="Gill Sans MT" w:hAnsi="Gill Sans MT"/>
          <w:sz w:val="18"/>
          <w:szCs w:val="18"/>
        </w:rPr>
      </w:pPr>
      <w:r w:rsidRPr="005163C0">
        <w:rPr>
          <w:rStyle w:val="Refdenotaalpie"/>
          <w:rFonts w:ascii="Gill Sans MT" w:hAnsi="Gill Sans MT"/>
          <w:sz w:val="18"/>
          <w:szCs w:val="18"/>
        </w:rPr>
        <w:footnoteRef/>
      </w:r>
      <w:r w:rsidRPr="005163C0">
        <w:rPr>
          <w:rFonts w:ascii="Gill Sans MT" w:hAnsi="Gill Sans MT"/>
          <w:sz w:val="18"/>
          <w:szCs w:val="18"/>
        </w:rPr>
        <w:t xml:space="preserve"> En principio había sido designado el Lic. William Amparo, quien a la sazón era el Encargado de la Sección Jurídica, sin embargo, en el mes de abril fue sustituido en el por el Lic. Arsenio Mercado y, por vía de consecuencia, en la CPI</w:t>
      </w:r>
      <w:r w:rsidR="00030834" w:rsidRPr="005163C0">
        <w:rPr>
          <w:rFonts w:ascii="Gill Sans MT" w:hAnsi="Gill Sans MT"/>
          <w:sz w:val="18"/>
          <w:szCs w:val="18"/>
        </w:rPr>
        <w:t xml:space="preserve"> también</w:t>
      </w:r>
      <w:r w:rsidRPr="005163C0">
        <w:rPr>
          <w:rFonts w:ascii="Gill Sans MT" w:hAnsi="Gill Sans MT"/>
          <w:sz w:val="18"/>
          <w:szCs w:val="18"/>
        </w:rPr>
        <w:t>.</w:t>
      </w:r>
    </w:p>
  </w:footnote>
  <w:footnote w:id="3">
    <w:p w:rsidR="006B7C5D" w:rsidRDefault="006B7C5D" w:rsidP="006B7C5D">
      <w:pPr>
        <w:pStyle w:val="Textonotapie"/>
        <w:jc w:val="both"/>
      </w:pPr>
      <w:r w:rsidRPr="005163C0">
        <w:rPr>
          <w:rStyle w:val="Refdenotaalpie"/>
          <w:rFonts w:ascii="Gill Sans MT" w:hAnsi="Gill Sans MT"/>
          <w:sz w:val="18"/>
          <w:szCs w:val="18"/>
        </w:rPr>
        <w:footnoteRef/>
      </w:r>
      <w:r w:rsidRPr="005163C0">
        <w:rPr>
          <w:rFonts w:ascii="Gill Sans MT" w:hAnsi="Gill Sans MT"/>
          <w:sz w:val="18"/>
          <w:szCs w:val="18"/>
        </w:rPr>
        <w:t xml:space="preserve"> En el mes de mayo Alison Antigua ingresó a la institución</w:t>
      </w:r>
      <w:r w:rsidR="00030834" w:rsidRPr="005163C0">
        <w:rPr>
          <w:rFonts w:ascii="Gill Sans MT" w:hAnsi="Gill Sans MT"/>
          <w:sz w:val="18"/>
          <w:szCs w:val="18"/>
        </w:rPr>
        <w:t xml:space="preserve"> como encargado de la Sección de Tecnología de la Información y la Comunicación, </w:t>
      </w:r>
      <w:r w:rsidR="00F2450A" w:rsidRPr="005163C0">
        <w:rPr>
          <w:rFonts w:ascii="Gill Sans MT" w:hAnsi="Gill Sans MT"/>
          <w:sz w:val="18"/>
          <w:szCs w:val="18"/>
        </w:rPr>
        <w:t>debido a</w:t>
      </w:r>
      <w:r w:rsidR="00030834" w:rsidRPr="005163C0">
        <w:rPr>
          <w:rFonts w:ascii="Gill Sans MT" w:hAnsi="Gill Sans MT"/>
          <w:sz w:val="18"/>
          <w:szCs w:val="18"/>
        </w:rPr>
        <w:t xml:space="preserve"> los cual</w:t>
      </w:r>
      <w:r w:rsidRPr="005163C0">
        <w:rPr>
          <w:rFonts w:ascii="Gill Sans MT" w:hAnsi="Gill Sans MT"/>
          <w:sz w:val="18"/>
          <w:szCs w:val="18"/>
        </w:rPr>
        <w:t xml:space="preserve"> fue integrado a la CPI.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B1692"/>
    <w:multiLevelType w:val="multilevel"/>
    <w:tmpl w:val="E53A735A"/>
    <w:lvl w:ilvl="0">
      <w:start w:val="2"/>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
    <w:nsid w:val="109C6003"/>
    <w:multiLevelType w:val="multilevel"/>
    <w:tmpl w:val="EB0CD176"/>
    <w:lvl w:ilvl="0">
      <w:start w:val="1"/>
      <w:numFmt w:val="decimal"/>
      <w:pStyle w:val="Sinespaciado"/>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7E4725D"/>
    <w:multiLevelType w:val="multilevel"/>
    <w:tmpl w:val="E53A735A"/>
    <w:lvl w:ilvl="0">
      <w:start w:val="5"/>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
    <w:nsid w:val="47A25E18"/>
    <w:multiLevelType w:val="hybridMultilevel"/>
    <w:tmpl w:val="36EA410C"/>
    <w:lvl w:ilvl="0" w:tplc="15D284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1E4FE3"/>
    <w:multiLevelType w:val="hybridMultilevel"/>
    <w:tmpl w:val="D9E0FBF4"/>
    <w:lvl w:ilvl="0" w:tplc="15D284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961294"/>
    <w:multiLevelType w:val="multilevel"/>
    <w:tmpl w:val="4824F8DC"/>
    <w:lvl w:ilvl="0">
      <w:start w:val="1"/>
      <w:numFmt w:val="upperRoman"/>
      <w:lvlText w:val="%1."/>
      <w:lvlJc w:val="righ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
    <w:nsid w:val="516C6FEF"/>
    <w:multiLevelType w:val="hybridMultilevel"/>
    <w:tmpl w:val="0A9660D4"/>
    <w:lvl w:ilvl="0" w:tplc="15D284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0E19FB"/>
    <w:multiLevelType w:val="multilevel"/>
    <w:tmpl w:val="E53A735A"/>
    <w:lvl w:ilvl="0">
      <w:start w:val="4"/>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8">
    <w:nsid w:val="600D22B3"/>
    <w:multiLevelType w:val="multilevel"/>
    <w:tmpl w:val="E53A735A"/>
    <w:lvl w:ilvl="0">
      <w:start w:val="2"/>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9">
    <w:nsid w:val="601002CE"/>
    <w:multiLevelType w:val="hybridMultilevel"/>
    <w:tmpl w:val="996679A8"/>
    <w:lvl w:ilvl="0" w:tplc="15D284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647FDB"/>
    <w:multiLevelType w:val="hybridMultilevel"/>
    <w:tmpl w:val="5AE0B188"/>
    <w:lvl w:ilvl="0" w:tplc="15D284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F67CB1"/>
    <w:multiLevelType w:val="multilevel"/>
    <w:tmpl w:val="A57E83A6"/>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2">
    <w:nsid w:val="743F762B"/>
    <w:multiLevelType w:val="hybridMultilevel"/>
    <w:tmpl w:val="524A5120"/>
    <w:lvl w:ilvl="0" w:tplc="15D284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8628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7F37DA4"/>
    <w:multiLevelType w:val="multilevel"/>
    <w:tmpl w:val="986020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EC50D8A"/>
    <w:multiLevelType w:val="hybridMultilevel"/>
    <w:tmpl w:val="77BA8DE2"/>
    <w:lvl w:ilvl="0" w:tplc="A734E896">
      <w:start w:val="1"/>
      <w:numFmt w:val="decimal"/>
      <w:pStyle w:val="Ttulo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4"/>
  </w:num>
  <w:num w:numId="13">
    <w:abstractNumId w:val="14"/>
  </w:num>
  <w:num w:numId="14">
    <w:abstractNumId w:val="14"/>
  </w:num>
  <w:num w:numId="15">
    <w:abstractNumId w:val="10"/>
  </w:num>
  <w:num w:numId="16">
    <w:abstractNumId w:val="12"/>
  </w:num>
  <w:num w:numId="17">
    <w:abstractNumId w:val="14"/>
  </w:num>
  <w:num w:numId="18">
    <w:abstractNumId w:val="15"/>
  </w:num>
  <w:num w:numId="19">
    <w:abstractNumId w:val="15"/>
  </w:num>
  <w:num w:numId="20">
    <w:abstractNumId w:val="8"/>
  </w:num>
  <w:num w:numId="21">
    <w:abstractNumId w:val="15"/>
  </w:num>
  <w:num w:numId="22">
    <w:abstractNumId w:val="15"/>
    <w:lvlOverride w:ilvl="0">
      <w:startOverride w:val="1"/>
    </w:lvlOverride>
  </w:num>
  <w:num w:numId="23">
    <w:abstractNumId w:val="11"/>
  </w:num>
  <w:num w:numId="24">
    <w:abstractNumId w:val="15"/>
  </w:num>
  <w:num w:numId="25">
    <w:abstractNumId w:val="15"/>
  </w:num>
  <w:num w:numId="26">
    <w:abstractNumId w:val="15"/>
  </w:num>
  <w:num w:numId="27">
    <w:abstractNumId w:val="0"/>
  </w:num>
  <w:num w:numId="28">
    <w:abstractNumId w:val="7"/>
  </w:num>
  <w:num w:numId="29">
    <w:abstractNumId w:val="15"/>
  </w:num>
  <w:num w:numId="30">
    <w:abstractNumId w:val="15"/>
  </w:num>
  <w:num w:numId="31">
    <w:abstractNumId w:val="9"/>
  </w:num>
  <w:num w:numId="32">
    <w:abstractNumId w:val="2"/>
  </w:num>
  <w:num w:numId="33">
    <w:abstractNumId w:val="15"/>
  </w:num>
  <w:num w:numId="34">
    <w:abstractNumId w:val="15"/>
  </w:num>
  <w:num w:numId="35">
    <w:abstractNumId w:val="15"/>
  </w:num>
  <w:num w:numId="36">
    <w:abstractNumId w:val="15"/>
  </w:num>
  <w:num w:numId="37">
    <w:abstractNumId w:val="15"/>
  </w:num>
  <w:num w:numId="38">
    <w:abstractNumId w:val="4"/>
  </w:num>
  <w:num w:numId="39">
    <w:abstractNumId w:val="3"/>
  </w:num>
  <w:num w:numId="40">
    <w:abstractNumId w:val="6"/>
  </w:num>
  <w:num w:numId="41">
    <w:abstractNumId w:val="15"/>
    <w:lvlOverride w:ilvl="0">
      <w:startOverride w:val="1"/>
    </w:lvlOverride>
  </w:num>
  <w:num w:numId="42">
    <w:abstractNumId w:val="15"/>
  </w:num>
  <w:num w:numId="43">
    <w:abstractNumId w:val="15"/>
  </w:num>
  <w:num w:numId="44">
    <w:abstractNumId w:val="15"/>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4098"/>
  </w:hdrShapeDefaults>
  <w:footnotePr>
    <w:footnote w:id="0"/>
    <w:footnote w:id="1"/>
  </w:footnotePr>
  <w:endnotePr>
    <w:endnote w:id="0"/>
    <w:endnote w:id="1"/>
  </w:endnotePr>
  <w:compat/>
  <w:rsids>
    <w:rsidRoot w:val="007B0D80"/>
    <w:rsid w:val="00030834"/>
    <w:rsid w:val="000510B3"/>
    <w:rsid w:val="000C5B5D"/>
    <w:rsid w:val="000D374B"/>
    <w:rsid w:val="000E2B38"/>
    <w:rsid w:val="000F2422"/>
    <w:rsid w:val="00102C17"/>
    <w:rsid w:val="00105948"/>
    <w:rsid w:val="001115A6"/>
    <w:rsid w:val="00175DFE"/>
    <w:rsid w:val="00185E6D"/>
    <w:rsid w:val="001A11F6"/>
    <w:rsid w:val="00246994"/>
    <w:rsid w:val="00263FD8"/>
    <w:rsid w:val="0027292A"/>
    <w:rsid w:val="00277687"/>
    <w:rsid w:val="002A3624"/>
    <w:rsid w:val="002A7E23"/>
    <w:rsid w:val="00356F32"/>
    <w:rsid w:val="00367F17"/>
    <w:rsid w:val="003719C1"/>
    <w:rsid w:val="003A099C"/>
    <w:rsid w:val="003A3D55"/>
    <w:rsid w:val="003E3338"/>
    <w:rsid w:val="003E7B3E"/>
    <w:rsid w:val="0041684F"/>
    <w:rsid w:val="00457B8E"/>
    <w:rsid w:val="004835CC"/>
    <w:rsid w:val="0048638A"/>
    <w:rsid w:val="00486F87"/>
    <w:rsid w:val="00495E81"/>
    <w:rsid w:val="004A020B"/>
    <w:rsid w:val="004A1506"/>
    <w:rsid w:val="004C5881"/>
    <w:rsid w:val="004C7FF9"/>
    <w:rsid w:val="004D76DE"/>
    <w:rsid w:val="004E606C"/>
    <w:rsid w:val="004E6D6D"/>
    <w:rsid w:val="004F0133"/>
    <w:rsid w:val="005163C0"/>
    <w:rsid w:val="00553D2D"/>
    <w:rsid w:val="00572AF8"/>
    <w:rsid w:val="00581C5B"/>
    <w:rsid w:val="005A77B6"/>
    <w:rsid w:val="005E43F4"/>
    <w:rsid w:val="005F646A"/>
    <w:rsid w:val="0061418E"/>
    <w:rsid w:val="00637DA3"/>
    <w:rsid w:val="00665613"/>
    <w:rsid w:val="00697625"/>
    <w:rsid w:val="006B7C5D"/>
    <w:rsid w:val="006B7EE0"/>
    <w:rsid w:val="006F3287"/>
    <w:rsid w:val="006F7A99"/>
    <w:rsid w:val="00793528"/>
    <w:rsid w:val="007B0D80"/>
    <w:rsid w:val="007E79BF"/>
    <w:rsid w:val="008143DE"/>
    <w:rsid w:val="00820C9B"/>
    <w:rsid w:val="00853CF2"/>
    <w:rsid w:val="00865A80"/>
    <w:rsid w:val="00895996"/>
    <w:rsid w:val="008A1E53"/>
    <w:rsid w:val="008B2D50"/>
    <w:rsid w:val="008C6D71"/>
    <w:rsid w:val="008E6917"/>
    <w:rsid w:val="008F3813"/>
    <w:rsid w:val="008F5909"/>
    <w:rsid w:val="00902C00"/>
    <w:rsid w:val="00941197"/>
    <w:rsid w:val="00994DF1"/>
    <w:rsid w:val="009D1A8A"/>
    <w:rsid w:val="009D6F23"/>
    <w:rsid w:val="00A36BC3"/>
    <w:rsid w:val="00A44027"/>
    <w:rsid w:val="00A608FA"/>
    <w:rsid w:val="00A649B0"/>
    <w:rsid w:val="00A72B3E"/>
    <w:rsid w:val="00A756BE"/>
    <w:rsid w:val="00AB1E76"/>
    <w:rsid w:val="00AF3E13"/>
    <w:rsid w:val="00B020C2"/>
    <w:rsid w:val="00B35AAC"/>
    <w:rsid w:val="00BD00C9"/>
    <w:rsid w:val="00C11BDA"/>
    <w:rsid w:val="00C967C9"/>
    <w:rsid w:val="00CE1C6F"/>
    <w:rsid w:val="00CF0074"/>
    <w:rsid w:val="00D10B4E"/>
    <w:rsid w:val="00D14905"/>
    <w:rsid w:val="00D24433"/>
    <w:rsid w:val="00D5409D"/>
    <w:rsid w:val="00D851D3"/>
    <w:rsid w:val="00D87D43"/>
    <w:rsid w:val="00DB4AC1"/>
    <w:rsid w:val="00DD04C3"/>
    <w:rsid w:val="00E47275"/>
    <w:rsid w:val="00E539FE"/>
    <w:rsid w:val="00E55733"/>
    <w:rsid w:val="00E62D6D"/>
    <w:rsid w:val="00E93847"/>
    <w:rsid w:val="00EB59A4"/>
    <w:rsid w:val="00ED3885"/>
    <w:rsid w:val="00EF6CCA"/>
    <w:rsid w:val="00F2450A"/>
    <w:rsid w:val="00F55221"/>
    <w:rsid w:val="00F72704"/>
    <w:rsid w:val="00FA1DEB"/>
    <w:rsid w:val="00FA221C"/>
    <w:rsid w:val="00FA23CD"/>
    <w:rsid w:val="00FC4D65"/>
    <w:rsid w:val="00FF799D"/>
  </w:rsids>
  <m:mathPr>
    <m:mathFont m:val="Cambria Math"/>
    <m:brkBin m:val="before"/>
    <m:brkBinSub m:val="--"/>
    <m:smallFrac/>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221"/>
    <w:pPr>
      <w:jc w:val="both"/>
    </w:pPr>
    <w:rPr>
      <w:rFonts w:ascii="Gill Sans MT" w:hAnsi="Gill Sans MT"/>
      <w:b/>
      <w:sz w:val="28"/>
      <w:lang w:val="es-DO"/>
    </w:rPr>
  </w:style>
  <w:style w:type="paragraph" w:styleId="Ttulo1">
    <w:name w:val="heading 1"/>
    <w:basedOn w:val="Normal"/>
    <w:next w:val="Normal"/>
    <w:link w:val="Ttulo1Car"/>
    <w:autoRedefine/>
    <w:uiPriority w:val="9"/>
    <w:qFormat/>
    <w:rsid w:val="00E47275"/>
    <w:pPr>
      <w:keepNext/>
      <w:keepLines/>
      <w:numPr>
        <w:numId w:val="18"/>
      </w:numPr>
      <w:spacing w:after="0" w:line="360" w:lineRule="auto"/>
      <w:ind w:left="284" w:hanging="284"/>
      <w:outlineLvl w:val="0"/>
    </w:pPr>
    <w:rPr>
      <w:rFonts w:eastAsiaTheme="majorEastAsia" w:cstheme="majorBidi"/>
      <w:sz w:val="24"/>
      <w:szCs w:val="20"/>
    </w:rPr>
  </w:style>
  <w:style w:type="paragraph" w:styleId="Ttulo2">
    <w:name w:val="heading 2"/>
    <w:basedOn w:val="Normal"/>
    <w:next w:val="Normal"/>
    <w:link w:val="Ttulo2Car"/>
    <w:uiPriority w:val="9"/>
    <w:semiHidden/>
    <w:unhideWhenUsed/>
    <w:qFormat/>
    <w:rsid w:val="003E7B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B0D80"/>
    <w:pPr>
      <w:ind w:left="720"/>
      <w:contextualSpacing/>
    </w:pPr>
  </w:style>
  <w:style w:type="paragraph" w:styleId="Sinespaciado">
    <w:name w:val="No Spacing"/>
    <w:autoRedefine/>
    <w:uiPriority w:val="1"/>
    <w:qFormat/>
    <w:rsid w:val="007B0D80"/>
    <w:pPr>
      <w:numPr>
        <w:numId w:val="2"/>
      </w:numPr>
      <w:spacing w:after="0" w:line="240" w:lineRule="auto"/>
      <w:jc w:val="both"/>
    </w:pPr>
    <w:rPr>
      <w:rFonts w:ascii="Gill Sans MT" w:hAnsi="Gill Sans MT"/>
      <w:b/>
      <w:sz w:val="24"/>
      <w:lang w:val="es-DO"/>
    </w:rPr>
  </w:style>
  <w:style w:type="character" w:customStyle="1" w:styleId="Ttulo1Car">
    <w:name w:val="Título 1 Car"/>
    <w:basedOn w:val="Fuentedeprrafopredeter"/>
    <w:link w:val="Ttulo1"/>
    <w:uiPriority w:val="9"/>
    <w:rsid w:val="00E47275"/>
    <w:rPr>
      <w:rFonts w:ascii="Gill Sans MT" w:eastAsiaTheme="majorEastAsia" w:hAnsi="Gill Sans MT" w:cstheme="majorBidi"/>
      <w:b/>
      <w:sz w:val="24"/>
      <w:szCs w:val="20"/>
      <w:lang w:val="es-DO"/>
    </w:rPr>
  </w:style>
  <w:style w:type="table" w:customStyle="1" w:styleId="TableGrid1">
    <w:name w:val="Table Grid1"/>
    <w:basedOn w:val="Tablanormal"/>
    <w:next w:val="Tablaconcuadrcula"/>
    <w:uiPriority w:val="39"/>
    <w:rsid w:val="006B7C5D"/>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6B7C5D"/>
    <w:pPr>
      <w:widowControl w:val="0"/>
      <w:autoSpaceDE w:val="0"/>
      <w:autoSpaceDN w:val="0"/>
      <w:spacing w:after="0" w:line="240" w:lineRule="auto"/>
      <w:jc w:val="left"/>
    </w:pPr>
    <w:rPr>
      <w:rFonts w:ascii="Arial" w:eastAsia="Arial" w:hAnsi="Arial" w:cs="Arial"/>
      <w:b w:val="0"/>
      <w:sz w:val="20"/>
      <w:szCs w:val="20"/>
    </w:rPr>
  </w:style>
  <w:style w:type="character" w:customStyle="1" w:styleId="TextonotapieCar">
    <w:name w:val="Texto nota pie Car"/>
    <w:basedOn w:val="Fuentedeprrafopredeter"/>
    <w:link w:val="Textonotapie"/>
    <w:uiPriority w:val="99"/>
    <w:semiHidden/>
    <w:rsid w:val="006B7C5D"/>
    <w:rPr>
      <w:rFonts w:ascii="Arial" w:eastAsia="Arial" w:hAnsi="Arial" w:cs="Arial"/>
      <w:sz w:val="20"/>
      <w:szCs w:val="20"/>
      <w:lang w:val="es-DO"/>
    </w:rPr>
  </w:style>
  <w:style w:type="character" w:styleId="Refdenotaalpie">
    <w:name w:val="footnote reference"/>
    <w:basedOn w:val="Fuentedeprrafopredeter"/>
    <w:uiPriority w:val="99"/>
    <w:semiHidden/>
    <w:unhideWhenUsed/>
    <w:rsid w:val="006B7C5D"/>
    <w:rPr>
      <w:vertAlign w:val="superscript"/>
    </w:rPr>
  </w:style>
  <w:style w:type="table" w:styleId="Tablaconcuadrcula">
    <w:name w:val="Table Grid"/>
    <w:basedOn w:val="Tablanormal"/>
    <w:uiPriority w:val="39"/>
    <w:rsid w:val="006B7C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6F7A99"/>
    <w:pPr>
      <w:numPr>
        <w:numId w:val="0"/>
      </w:numPr>
      <w:spacing w:before="240" w:line="259" w:lineRule="auto"/>
      <w:jc w:val="left"/>
      <w:outlineLvl w:val="9"/>
    </w:pPr>
    <w:rPr>
      <w:rFonts w:asciiTheme="majorHAnsi" w:hAnsiTheme="majorHAnsi"/>
      <w:b w:val="0"/>
      <w:color w:val="2F5496" w:themeColor="accent1" w:themeShade="BF"/>
      <w:sz w:val="32"/>
      <w:szCs w:val="32"/>
      <w:lang w:val="en-US"/>
    </w:rPr>
  </w:style>
  <w:style w:type="paragraph" w:styleId="TDC1">
    <w:name w:val="toc 1"/>
    <w:basedOn w:val="Normal"/>
    <w:next w:val="Normal"/>
    <w:autoRedefine/>
    <w:uiPriority w:val="39"/>
    <w:unhideWhenUsed/>
    <w:rsid w:val="006F7A99"/>
    <w:pPr>
      <w:spacing w:after="100"/>
    </w:pPr>
  </w:style>
  <w:style w:type="character" w:styleId="Hipervnculo">
    <w:name w:val="Hyperlink"/>
    <w:basedOn w:val="Fuentedeprrafopredeter"/>
    <w:uiPriority w:val="99"/>
    <w:unhideWhenUsed/>
    <w:rsid w:val="006F7A99"/>
    <w:rPr>
      <w:color w:val="0563C1" w:themeColor="hyperlink"/>
      <w:u w:val="single"/>
    </w:rPr>
  </w:style>
  <w:style w:type="paragraph" w:styleId="Encabezado">
    <w:name w:val="header"/>
    <w:basedOn w:val="Normal"/>
    <w:link w:val="EncabezadoCar"/>
    <w:uiPriority w:val="99"/>
    <w:unhideWhenUsed/>
    <w:rsid w:val="006F7A9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F7A99"/>
    <w:rPr>
      <w:rFonts w:ascii="Gill Sans MT" w:hAnsi="Gill Sans MT"/>
      <w:b/>
      <w:sz w:val="28"/>
      <w:lang w:val="es-DO"/>
    </w:rPr>
  </w:style>
  <w:style w:type="paragraph" w:styleId="Piedepgina">
    <w:name w:val="footer"/>
    <w:basedOn w:val="Normal"/>
    <w:link w:val="PiedepginaCar"/>
    <w:uiPriority w:val="99"/>
    <w:unhideWhenUsed/>
    <w:rsid w:val="006F7A9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F7A99"/>
    <w:rPr>
      <w:rFonts w:ascii="Gill Sans MT" w:hAnsi="Gill Sans MT"/>
      <w:b/>
      <w:sz w:val="28"/>
      <w:lang w:val="es-DO"/>
    </w:rPr>
  </w:style>
  <w:style w:type="character" w:styleId="Nmerodelnea">
    <w:name w:val="line number"/>
    <w:basedOn w:val="Fuentedeprrafopredeter"/>
    <w:uiPriority w:val="99"/>
    <w:semiHidden/>
    <w:unhideWhenUsed/>
    <w:rsid w:val="00102C17"/>
  </w:style>
  <w:style w:type="character" w:customStyle="1" w:styleId="Ttulo2Car">
    <w:name w:val="Título 2 Car"/>
    <w:basedOn w:val="Fuentedeprrafopredeter"/>
    <w:link w:val="Ttulo2"/>
    <w:uiPriority w:val="9"/>
    <w:semiHidden/>
    <w:rsid w:val="003E7B3E"/>
    <w:rPr>
      <w:rFonts w:asciiTheme="majorHAnsi" w:eastAsiaTheme="majorEastAsia" w:hAnsiTheme="majorHAnsi" w:cstheme="majorBidi"/>
      <w:b/>
      <w:color w:val="2F5496" w:themeColor="accent1" w:themeShade="BF"/>
      <w:sz w:val="26"/>
      <w:szCs w:val="26"/>
      <w:lang w:val="es-DO"/>
    </w:rPr>
  </w:style>
</w:styles>
</file>

<file path=word/webSettings.xml><?xml version="1.0" encoding="utf-8"?>
<w:webSettings xmlns:r="http://schemas.openxmlformats.org/officeDocument/2006/relationships" xmlns:w="http://schemas.openxmlformats.org/wordprocessingml/2006/main">
  <w:divs>
    <w:div w:id="10184652">
      <w:bodyDiv w:val="1"/>
      <w:marLeft w:val="0"/>
      <w:marRight w:val="0"/>
      <w:marTop w:val="0"/>
      <w:marBottom w:val="0"/>
      <w:divBdr>
        <w:top w:val="none" w:sz="0" w:space="0" w:color="auto"/>
        <w:left w:val="none" w:sz="0" w:space="0" w:color="auto"/>
        <w:bottom w:val="none" w:sz="0" w:space="0" w:color="auto"/>
        <w:right w:val="none" w:sz="0" w:space="0" w:color="auto"/>
      </w:divBdr>
    </w:div>
    <w:div w:id="1009789669">
      <w:bodyDiv w:val="1"/>
      <w:marLeft w:val="0"/>
      <w:marRight w:val="0"/>
      <w:marTop w:val="0"/>
      <w:marBottom w:val="0"/>
      <w:divBdr>
        <w:top w:val="none" w:sz="0" w:space="0" w:color="auto"/>
        <w:left w:val="none" w:sz="0" w:space="0" w:color="auto"/>
        <w:bottom w:val="none" w:sz="0" w:space="0" w:color="auto"/>
        <w:right w:val="none" w:sz="0" w:space="0" w:color="auto"/>
      </w:divBdr>
    </w:div>
    <w:div w:id="1076055652">
      <w:bodyDiv w:val="1"/>
      <w:marLeft w:val="0"/>
      <w:marRight w:val="0"/>
      <w:marTop w:val="0"/>
      <w:marBottom w:val="0"/>
      <w:divBdr>
        <w:top w:val="none" w:sz="0" w:space="0" w:color="auto"/>
        <w:left w:val="none" w:sz="0" w:space="0" w:color="auto"/>
        <w:bottom w:val="none" w:sz="0" w:space="0" w:color="auto"/>
        <w:right w:val="none" w:sz="0" w:space="0" w:color="auto"/>
      </w:divBdr>
    </w:div>
    <w:div w:id="1715546101">
      <w:bodyDiv w:val="1"/>
      <w:marLeft w:val="0"/>
      <w:marRight w:val="0"/>
      <w:marTop w:val="0"/>
      <w:marBottom w:val="0"/>
      <w:divBdr>
        <w:top w:val="none" w:sz="0" w:space="0" w:color="auto"/>
        <w:left w:val="none" w:sz="0" w:space="0" w:color="auto"/>
        <w:bottom w:val="none" w:sz="0" w:space="0" w:color="auto"/>
        <w:right w:val="none" w:sz="0" w:space="0" w:color="auto"/>
      </w:divBdr>
    </w:div>
    <w:div w:id="188104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footer" Target="footer1.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Colors" Target="diagrams/colors1.xml"/></Relationships>
</file>

<file path=word/diagrams/_rels/data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diagrams/_rels/drawing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1.pn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A88CAF-75A2-4299-A3EF-07AC496EC256}" type="doc">
      <dgm:prSet loTypeId="urn:microsoft.com/office/officeart/2009/3/layout/FramedTextPicture" loCatId="picture" qsTypeId="urn:microsoft.com/office/officeart/2005/8/quickstyle/simple2" qsCatId="simple" csTypeId="urn:microsoft.com/office/officeart/2005/8/colors/accent1_1" csCatId="accent1" phldr="1"/>
      <dgm:spPr/>
      <dgm:t>
        <a:bodyPr/>
        <a:lstStyle/>
        <a:p>
          <a:endParaRPr lang="en-US"/>
        </a:p>
      </dgm:t>
    </dgm:pt>
    <dgm:pt modelId="{7CD9F432-9AC8-4A51-ABFF-23305C8AA139}">
      <dgm:prSet phldrT="[Text]" custT="1"/>
      <dgm:spPr>
        <a:xfrm>
          <a:off x="2390585" y="1603642"/>
          <a:ext cx="3203620" cy="1978819"/>
        </a:xfrm>
        <a:noFill/>
        <a:ln>
          <a:noFill/>
        </a:ln>
        <a:effectLst/>
      </dgm:spPr>
      <dgm:t>
        <a:bodyPr/>
        <a:lstStyle/>
        <a:p>
          <a:pPr algn="just">
            <a:buNone/>
          </a:pPr>
          <a:r>
            <a:rPr lang="en-US" sz="1300">
              <a:solidFill>
                <a:sysClr val="windowText" lastClr="000000">
                  <a:hueOff val="0"/>
                  <a:satOff val="0"/>
                  <a:lumOff val="0"/>
                  <a:alphaOff val="0"/>
                </a:sysClr>
              </a:solidFill>
              <a:latin typeface="Gill Sans MT" panose="020B0502020104020203" pitchFamily="34" charset="0"/>
              <a:ea typeface="+mn-ea"/>
              <a:cs typeface="+mn-cs"/>
            </a:rPr>
            <a:t>Ser una institución pública con elevados niveles de calidad, eficiencia y transparencia; que responde equilibrada, equitativa y oportunamente a las necesidades de los diferentes actores del sector azucarero, así como a los requerimientos del mercado nacional e internacional; técnicamente competitiva, tanto en el país como en el marco de los organismos internacionales; y, que promueve la sostenibilidad ambiental, social y económica.</a:t>
          </a:r>
        </a:p>
      </dgm:t>
    </dgm:pt>
    <dgm:pt modelId="{E0BCE52F-0ED8-4BF3-8963-F5B201CA3B92}" type="parTrans" cxnId="{B540DC9D-5D5D-449E-8522-F2B814BA7AC6}">
      <dgm:prSet/>
      <dgm:spPr/>
      <dgm:t>
        <a:bodyPr/>
        <a:lstStyle/>
        <a:p>
          <a:endParaRPr lang="en-US"/>
        </a:p>
      </dgm:t>
    </dgm:pt>
    <dgm:pt modelId="{D42E474A-6AFE-460B-A04A-AD86A70F6B24}" type="sibTrans" cxnId="{B540DC9D-5D5D-449E-8522-F2B814BA7AC6}">
      <dgm:prSet/>
      <dgm:spPr/>
      <dgm:t>
        <a:bodyPr/>
        <a:lstStyle/>
        <a:p>
          <a:endParaRPr lang="en-US"/>
        </a:p>
      </dgm:t>
    </dgm:pt>
    <dgm:pt modelId="{A3F7F2CD-C266-4E22-A971-9002EBBEEFBC}" type="pres">
      <dgm:prSet presAssocID="{69A88CAF-75A2-4299-A3EF-07AC496EC256}" presName="Name0" presStyleCnt="0">
        <dgm:presLayoutVars>
          <dgm:chMax/>
          <dgm:chPref/>
          <dgm:dir/>
        </dgm:presLayoutVars>
      </dgm:prSet>
      <dgm:spPr/>
      <dgm:t>
        <a:bodyPr/>
        <a:lstStyle/>
        <a:p>
          <a:endParaRPr lang="es-DO"/>
        </a:p>
      </dgm:t>
    </dgm:pt>
    <dgm:pt modelId="{5581E471-4B66-47C8-B390-0B373B46C567}" type="pres">
      <dgm:prSet presAssocID="{7CD9F432-9AC8-4A51-ABFF-23305C8AA139}" presName="composite" presStyleCnt="0">
        <dgm:presLayoutVars>
          <dgm:chMax/>
          <dgm:chPref/>
        </dgm:presLayoutVars>
      </dgm:prSet>
      <dgm:spPr/>
    </dgm:pt>
    <dgm:pt modelId="{A3DFC5AB-4B69-4D71-965B-670592EB98EB}" type="pres">
      <dgm:prSet presAssocID="{7CD9F432-9AC8-4A51-ABFF-23305C8AA139}" presName="Image" presStyleLbl="bgImgPlace1" presStyleIdx="0" presStyleCnt="1"/>
      <dgm:spPr>
        <a:xfrm>
          <a:off x="34930" y="1888"/>
          <a:ext cx="2261241" cy="1507488"/>
        </a:xfrm>
        <a:prstGeom prst="rect">
          <a:avLst/>
        </a:prstGeom>
        <a:blipFill>
          <a:blip xmlns:r="http://schemas.openxmlformats.org/officeDocument/2006/relationships" r:embed="rId1">
            <a:extLst>
              <a:ext uri="{28A0092B-C50C-407E-A947-70E740481C1C}">
                <a14:useLocalDpi xmlns:a14="http://schemas.microsoft.com/office/drawing/2010/main" xmlns="" val="0"/>
              </a:ext>
              <a:ext uri="{96DAC541-7B7A-43D3-8B79-37D633B846F1}">
                <asvg:svgBlip xmlns:asvg="http://schemas.microsoft.com/office/drawing/2016/SVG/main" xmlns="" r:embed="rId2"/>
              </a:ext>
            </a:extLst>
          </a:blip>
          <a:srcRect/>
          <a:stretch>
            <a:fillRect t="-25000" b="-25000"/>
          </a:stretch>
        </a:blipFill>
        <a:ln w="19050" cap="flat" cmpd="sng" algn="ctr">
          <a:solidFill>
            <a:srgbClr val="4472C4">
              <a:shade val="80000"/>
              <a:hueOff val="0"/>
              <a:satOff val="0"/>
              <a:lumOff val="0"/>
              <a:alphaOff val="0"/>
            </a:srgbClr>
          </a:solidFill>
          <a:prstDash val="solid"/>
          <a:miter lim="800000"/>
        </a:ln>
        <a:effectLst/>
      </dgm:spPr>
      <dgm:extLst>
        <a:ext uri="{E40237B7-FDA0-4F09-8148-C483321AD2D9}">
          <dgm14:cNvPr xmlns:dgm14="http://schemas.microsoft.com/office/drawing/2010/diagram" xmlns="" id="0" name="" descr="Badge Tick1 with solid fill"/>
        </a:ext>
      </dgm:extLst>
    </dgm:pt>
    <dgm:pt modelId="{ED73B644-C8DB-4173-8982-146B0DAF9665}" type="pres">
      <dgm:prSet presAssocID="{7CD9F432-9AC8-4A51-ABFF-23305C8AA139}" presName="ParentText" presStyleLbl="revTx" presStyleIdx="0" presStyleCnt="1">
        <dgm:presLayoutVars>
          <dgm:chMax val="0"/>
          <dgm:chPref val="0"/>
          <dgm:bulletEnabled val="1"/>
        </dgm:presLayoutVars>
      </dgm:prSet>
      <dgm:spPr>
        <a:prstGeom prst="rect">
          <a:avLst/>
        </a:prstGeom>
      </dgm:spPr>
      <dgm:t>
        <a:bodyPr/>
        <a:lstStyle/>
        <a:p>
          <a:endParaRPr lang="es-DO"/>
        </a:p>
      </dgm:t>
    </dgm:pt>
    <dgm:pt modelId="{64A535AE-30A6-4A9B-87AB-6F5E67B539F7}" type="pres">
      <dgm:prSet presAssocID="{7CD9F432-9AC8-4A51-ABFF-23305C8AA139}" presName="tlFrame" presStyleLbl="node1" presStyleIdx="0" presStyleCnt="4"/>
      <dgm:spPr>
        <a:xfrm>
          <a:off x="2107930" y="1321230"/>
          <a:ext cx="769384" cy="769583"/>
        </a:xfrm>
        <a:prstGeom prst="halfFrame">
          <a:avLst>
            <a:gd name="adj1" fmla="val 25770"/>
            <a:gd name="adj2" fmla="val 25770"/>
          </a:avLst>
        </a:prstGeom>
        <a:solidFill>
          <a:sysClr val="window" lastClr="FFFFFF">
            <a:hueOff val="0"/>
            <a:satOff val="0"/>
            <a:lumOff val="0"/>
            <a:alphaOff val="0"/>
          </a:sysClr>
        </a:solidFill>
        <a:ln w="19050" cap="flat" cmpd="sng" algn="ctr">
          <a:solidFill>
            <a:srgbClr val="4472C4">
              <a:shade val="80000"/>
              <a:hueOff val="0"/>
              <a:satOff val="0"/>
              <a:lumOff val="0"/>
              <a:alphaOff val="0"/>
            </a:srgbClr>
          </a:solidFill>
          <a:prstDash val="solid"/>
          <a:miter lim="800000"/>
        </a:ln>
        <a:effectLst/>
      </dgm:spPr>
    </dgm:pt>
    <dgm:pt modelId="{F6A5C8BA-B7A1-471F-BF19-84EA9803C87C}" type="pres">
      <dgm:prSet presAssocID="{7CD9F432-9AC8-4A51-ABFF-23305C8AA139}" presName="trFrame" presStyleLbl="node1" presStyleIdx="1" presStyleCnt="4"/>
      <dgm:spPr>
        <a:xfrm rot="5400000">
          <a:off x="5129660" y="1321329"/>
          <a:ext cx="769583" cy="769384"/>
        </a:xfrm>
        <a:prstGeom prst="halfFrame">
          <a:avLst>
            <a:gd name="adj1" fmla="val 25770"/>
            <a:gd name="adj2" fmla="val 25770"/>
          </a:avLst>
        </a:prstGeom>
        <a:solidFill>
          <a:sysClr val="window" lastClr="FFFFFF">
            <a:hueOff val="0"/>
            <a:satOff val="0"/>
            <a:lumOff val="0"/>
            <a:alphaOff val="0"/>
          </a:sysClr>
        </a:solidFill>
        <a:ln w="19050" cap="flat" cmpd="sng" algn="ctr">
          <a:solidFill>
            <a:srgbClr val="4472C4">
              <a:shade val="80000"/>
              <a:hueOff val="0"/>
              <a:satOff val="0"/>
              <a:lumOff val="0"/>
              <a:alphaOff val="0"/>
            </a:srgbClr>
          </a:solidFill>
          <a:prstDash val="solid"/>
          <a:miter lim="800000"/>
        </a:ln>
        <a:effectLst/>
      </dgm:spPr>
    </dgm:pt>
    <dgm:pt modelId="{B2F77917-F974-4710-B21C-863A656D9879}" type="pres">
      <dgm:prSet presAssocID="{7CD9F432-9AC8-4A51-ABFF-23305C8AA139}" presName="blFrame" presStyleLbl="node1" presStyleIdx="2" presStyleCnt="4"/>
      <dgm:spPr>
        <a:xfrm rot="16200000">
          <a:off x="2107830" y="3095777"/>
          <a:ext cx="769583" cy="769384"/>
        </a:xfrm>
        <a:prstGeom prst="halfFrame">
          <a:avLst>
            <a:gd name="adj1" fmla="val 25770"/>
            <a:gd name="adj2" fmla="val 25770"/>
          </a:avLst>
        </a:prstGeom>
        <a:solidFill>
          <a:sysClr val="window" lastClr="FFFFFF">
            <a:hueOff val="0"/>
            <a:satOff val="0"/>
            <a:lumOff val="0"/>
            <a:alphaOff val="0"/>
          </a:sysClr>
        </a:solidFill>
        <a:ln w="19050" cap="flat" cmpd="sng" algn="ctr">
          <a:solidFill>
            <a:srgbClr val="4472C4">
              <a:shade val="80000"/>
              <a:hueOff val="0"/>
              <a:satOff val="0"/>
              <a:lumOff val="0"/>
              <a:alphaOff val="0"/>
            </a:srgbClr>
          </a:solidFill>
          <a:prstDash val="solid"/>
          <a:miter lim="800000"/>
        </a:ln>
        <a:effectLst/>
      </dgm:spPr>
    </dgm:pt>
    <dgm:pt modelId="{C59200CA-A10A-4009-99F7-313FB2D56F6C}" type="pres">
      <dgm:prSet presAssocID="{7CD9F432-9AC8-4A51-ABFF-23305C8AA139}" presName="brFrame" presStyleLbl="node1" presStyleIdx="3" presStyleCnt="4"/>
      <dgm:spPr>
        <a:xfrm rot="10800000">
          <a:off x="5129759" y="3095677"/>
          <a:ext cx="769384" cy="769583"/>
        </a:xfrm>
        <a:prstGeom prst="halfFrame">
          <a:avLst>
            <a:gd name="adj1" fmla="val 25770"/>
            <a:gd name="adj2" fmla="val 25770"/>
          </a:avLst>
        </a:prstGeom>
        <a:solidFill>
          <a:sysClr val="window" lastClr="FFFFFF">
            <a:hueOff val="0"/>
            <a:satOff val="0"/>
            <a:lumOff val="0"/>
            <a:alphaOff val="0"/>
          </a:sysClr>
        </a:solidFill>
        <a:ln w="19050" cap="flat" cmpd="sng" algn="ctr">
          <a:solidFill>
            <a:srgbClr val="4472C4">
              <a:shade val="80000"/>
              <a:hueOff val="0"/>
              <a:satOff val="0"/>
              <a:lumOff val="0"/>
              <a:alphaOff val="0"/>
            </a:srgbClr>
          </a:solidFill>
          <a:prstDash val="solid"/>
          <a:miter lim="800000"/>
        </a:ln>
        <a:effectLst/>
      </dgm:spPr>
    </dgm:pt>
  </dgm:ptLst>
  <dgm:cxnLst>
    <dgm:cxn modelId="{B540DC9D-5D5D-449E-8522-F2B814BA7AC6}" srcId="{69A88CAF-75A2-4299-A3EF-07AC496EC256}" destId="{7CD9F432-9AC8-4A51-ABFF-23305C8AA139}" srcOrd="0" destOrd="0" parTransId="{E0BCE52F-0ED8-4BF3-8963-F5B201CA3B92}" sibTransId="{D42E474A-6AFE-460B-A04A-AD86A70F6B24}"/>
    <dgm:cxn modelId="{3A0CD77A-D4D7-4F3E-ADA2-1AEE71EA8C9A}" type="presOf" srcId="{69A88CAF-75A2-4299-A3EF-07AC496EC256}" destId="{A3F7F2CD-C266-4E22-A971-9002EBBEEFBC}" srcOrd="0" destOrd="0" presId="urn:microsoft.com/office/officeart/2009/3/layout/FramedTextPicture"/>
    <dgm:cxn modelId="{1DDD0EE6-940E-43DB-862D-EDB3A6094B0A}" type="presOf" srcId="{7CD9F432-9AC8-4A51-ABFF-23305C8AA139}" destId="{ED73B644-C8DB-4173-8982-146B0DAF9665}" srcOrd="0" destOrd="0" presId="urn:microsoft.com/office/officeart/2009/3/layout/FramedTextPicture"/>
    <dgm:cxn modelId="{41634431-D02E-4EA4-B030-C5AAE2EC3EBB}" type="presParOf" srcId="{A3F7F2CD-C266-4E22-A971-9002EBBEEFBC}" destId="{5581E471-4B66-47C8-B390-0B373B46C567}" srcOrd="0" destOrd="0" presId="urn:microsoft.com/office/officeart/2009/3/layout/FramedTextPicture"/>
    <dgm:cxn modelId="{1C43D329-3479-4891-9432-125D8E3FBA45}" type="presParOf" srcId="{5581E471-4B66-47C8-B390-0B373B46C567}" destId="{A3DFC5AB-4B69-4D71-965B-670592EB98EB}" srcOrd="0" destOrd="0" presId="urn:microsoft.com/office/officeart/2009/3/layout/FramedTextPicture"/>
    <dgm:cxn modelId="{1DC518B2-E82B-4108-B41E-6B7FB8E2125D}" type="presParOf" srcId="{5581E471-4B66-47C8-B390-0B373B46C567}" destId="{ED73B644-C8DB-4173-8982-146B0DAF9665}" srcOrd="1" destOrd="0" presId="urn:microsoft.com/office/officeart/2009/3/layout/FramedTextPicture"/>
    <dgm:cxn modelId="{573AEA02-104F-42CC-9118-E89D8191E8C6}" type="presParOf" srcId="{5581E471-4B66-47C8-B390-0B373B46C567}" destId="{64A535AE-30A6-4A9B-87AB-6F5E67B539F7}" srcOrd="2" destOrd="0" presId="urn:microsoft.com/office/officeart/2009/3/layout/FramedTextPicture"/>
    <dgm:cxn modelId="{A43425AE-65A1-428F-AF08-93A542D831C0}" type="presParOf" srcId="{5581E471-4B66-47C8-B390-0B373B46C567}" destId="{F6A5C8BA-B7A1-471F-BF19-84EA9803C87C}" srcOrd="3" destOrd="0" presId="urn:microsoft.com/office/officeart/2009/3/layout/FramedTextPicture"/>
    <dgm:cxn modelId="{2738125F-A1E7-4CDE-82F1-348B52C53BEC}" type="presParOf" srcId="{5581E471-4B66-47C8-B390-0B373B46C567}" destId="{B2F77917-F974-4710-B21C-863A656D9879}" srcOrd="4" destOrd="0" presId="urn:microsoft.com/office/officeart/2009/3/layout/FramedTextPicture"/>
    <dgm:cxn modelId="{4BB45BE4-A3AA-427D-B1DD-C37083194F08}" type="presParOf" srcId="{5581E471-4B66-47C8-B390-0B373B46C567}" destId="{C59200CA-A10A-4009-99F7-313FB2D56F6C}" srcOrd="5" destOrd="0" presId="urn:microsoft.com/office/officeart/2009/3/layout/FramedTextPicture"/>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DFC5AB-4B69-4D71-965B-670592EB98EB}">
      <dsp:nvSpPr>
        <dsp:cNvPr id="0" name=""/>
        <dsp:cNvSpPr/>
      </dsp:nvSpPr>
      <dsp:spPr>
        <a:xfrm>
          <a:off x="34930" y="1888"/>
          <a:ext cx="2261241" cy="1507488"/>
        </a:xfrm>
        <a:prstGeom prst="rect">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t="-25000" b="-25000"/>
          </a:stretch>
        </a:blipFill>
        <a:ln w="19050" cap="flat" cmpd="sng" algn="ctr">
          <a:solidFill>
            <a:srgbClr val="4472C4">
              <a:shade val="80000"/>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dsp:style>
    </dsp:sp>
    <dsp:sp modelId="{ED73B644-C8DB-4173-8982-146B0DAF9665}">
      <dsp:nvSpPr>
        <dsp:cNvPr id="0" name=""/>
        <dsp:cNvSpPr/>
      </dsp:nvSpPr>
      <dsp:spPr>
        <a:xfrm>
          <a:off x="2390585" y="1603642"/>
          <a:ext cx="3203620" cy="197881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9530" tIns="49530" rIns="49530" bIns="49530" numCol="1" spcCol="1270" anchor="ctr" anchorCtr="0">
          <a:noAutofit/>
        </a:bodyPr>
        <a:lstStyle/>
        <a:p>
          <a:pPr marL="0" lvl="0" indent="0" algn="just" defTabSz="577850">
            <a:lnSpc>
              <a:spcPct val="90000"/>
            </a:lnSpc>
            <a:spcBef>
              <a:spcPct val="0"/>
            </a:spcBef>
            <a:spcAft>
              <a:spcPct val="35000"/>
            </a:spcAft>
            <a:buNone/>
          </a:pPr>
          <a:r>
            <a:rPr lang="en-US" sz="1300" kern="1200">
              <a:solidFill>
                <a:sysClr val="windowText" lastClr="000000">
                  <a:hueOff val="0"/>
                  <a:satOff val="0"/>
                  <a:lumOff val="0"/>
                  <a:alphaOff val="0"/>
                </a:sysClr>
              </a:solidFill>
              <a:latin typeface="Gill Sans MT" panose="020B0502020104020203" pitchFamily="34" charset="0"/>
              <a:ea typeface="+mn-ea"/>
              <a:cs typeface="+mn-cs"/>
            </a:rPr>
            <a:t>Ser una institución pública con elevados niveles de calidad, eficiencia y transparencia; que responde equilibrada, equitativa y oportunamente a las necesidades de los diferentes actores del sector azucarero, así como a los requerimientos del mercado nacional e internacional; técnicamente competitiva, tanto en el país como en el marco de los organismos internacionales; y, que promueve la sostenibilidad ambiental, social y económica.</a:t>
          </a:r>
        </a:p>
      </dsp:txBody>
      <dsp:txXfrm>
        <a:off x="2390585" y="1603642"/>
        <a:ext cx="3203620" cy="1978819"/>
      </dsp:txXfrm>
    </dsp:sp>
    <dsp:sp modelId="{64A535AE-30A6-4A9B-87AB-6F5E67B539F7}">
      <dsp:nvSpPr>
        <dsp:cNvPr id="0" name=""/>
        <dsp:cNvSpPr/>
      </dsp:nvSpPr>
      <dsp:spPr>
        <a:xfrm>
          <a:off x="2107930" y="1321230"/>
          <a:ext cx="769384" cy="769583"/>
        </a:xfrm>
        <a:prstGeom prst="halfFrame">
          <a:avLst>
            <a:gd name="adj1" fmla="val 25770"/>
            <a:gd name="adj2" fmla="val 25770"/>
          </a:avLst>
        </a:prstGeom>
        <a:solidFill>
          <a:sysClr val="window" lastClr="FFFFFF">
            <a:hueOff val="0"/>
            <a:satOff val="0"/>
            <a:lumOff val="0"/>
            <a:alphaOff val="0"/>
          </a:sysClr>
        </a:solidFill>
        <a:ln w="19050" cap="flat" cmpd="sng" algn="ctr">
          <a:solidFill>
            <a:srgbClr val="4472C4">
              <a:shade val="80000"/>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F6A5C8BA-B7A1-471F-BF19-84EA9803C87C}">
      <dsp:nvSpPr>
        <dsp:cNvPr id="0" name=""/>
        <dsp:cNvSpPr/>
      </dsp:nvSpPr>
      <dsp:spPr>
        <a:xfrm rot="5400000">
          <a:off x="5129660" y="1321329"/>
          <a:ext cx="769583" cy="769384"/>
        </a:xfrm>
        <a:prstGeom prst="halfFrame">
          <a:avLst>
            <a:gd name="adj1" fmla="val 25770"/>
            <a:gd name="adj2" fmla="val 25770"/>
          </a:avLst>
        </a:prstGeom>
        <a:solidFill>
          <a:sysClr val="window" lastClr="FFFFFF">
            <a:hueOff val="0"/>
            <a:satOff val="0"/>
            <a:lumOff val="0"/>
            <a:alphaOff val="0"/>
          </a:sysClr>
        </a:solidFill>
        <a:ln w="19050" cap="flat" cmpd="sng" algn="ctr">
          <a:solidFill>
            <a:srgbClr val="4472C4">
              <a:shade val="80000"/>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B2F77917-F974-4710-B21C-863A656D9879}">
      <dsp:nvSpPr>
        <dsp:cNvPr id="0" name=""/>
        <dsp:cNvSpPr/>
      </dsp:nvSpPr>
      <dsp:spPr>
        <a:xfrm rot="16200000">
          <a:off x="2107830" y="3095777"/>
          <a:ext cx="769583" cy="769384"/>
        </a:xfrm>
        <a:prstGeom prst="halfFrame">
          <a:avLst>
            <a:gd name="adj1" fmla="val 25770"/>
            <a:gd name="adj2" fmla="val 25770"/>
          </a:avLst>
        </a:prstGeom>
        <a:solidFill>
          <a:sysClr val="window" lastClr="FFFFFF">
            <a:hueOff val="0"/>
            <a:satOff val="0"/>
            <a:lumOff val="0"/>
            <a:alphaOff val="0"/>
          </a:sysClr>
        </a:solidFill>
        <a:ln w="19050" cap="flat" cmpd="sng" algn="ctr">
          <a:solidFill>
            <a:srgbClr val="4472C4">
              <a:shade val="80000"/>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C59200CA-A10A-4009-99F7-313FB2D56F6C}">
      <dsp:nvSpPr>
        <dsp:cNvPr id="0" name=""/>
        <dsp:cNvSpPr/>
      </dsp:nvSpPr>
      <dsp:spPr>
        <a:xfrm rot="10800000">
          <a:off x="5129759" y="3095677"/>
          <a:ext cx="769384" cy="769583"/>
        </a:xfrm>
        <a:prstGeom prst="halfFrame">
          <a:avLst>
            <a:gd name="adj1" fmla="val 25770"/>
            <a:gd name="adj2" fmla="val 25770"/>
          </a:avLst>
        </a:prstGeom>
        <a:solidFill>
          <a:sysClr val="window" lastClr="FFFFFF">
            <a:hueOff val="0"/>
            <a:satOff val="0"/>
            <a:lumOff val="0"/>
            <a:alphaOff val="0"/>
          </a:sysClr>
        </a:solidFill>
        <a:ln w="19050" cap="flat" cmpd="sng" algn="ctr">
          <a:solidFill>
            <a:srgbClr val="4472C4">
              <a:shade val="80000"/>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9/3/layout/FramedTextPicture">
  <dgm:title val=""/>
  <dgm:desc val=""/>
  <dgm:catLst>
    <dgm:cat type="picture" pri="20000"/>
    <dgm:cat type="pictureconvert" pri="20000"/>
  </dgm:catLst>
  <dgm:sampData>
    <dgm:dataModel>
      <dgm:ptLst>
        <dgm:pt modelId="0" type="doc"/>
        <dgm:pt modelId="10">
          <dgm:prSet phldr="1"/>
        </dgm:pt>
      </dgm:ptLst>
      <dgm:cxnLst>
        <dgm:cxn modelId="20" srcId="0" destId="10" srcOrd="0" destOrd="0"/>
      </dgm:cxnLst>
      <dgm:bg/>
      <dgm:whole/>
    </dgm:dataModel>
  </dgm:sampData>
  <dgm:styleData>
    <dgm:dataModel>
      <dgm:ptLst>
        <dgm:pt modelId="0" type="doc"/>
        <dgm:pt modelId="10">
          <dgm:prSet phldr="1"/>
        </dgm:pt>
      </dgm:ptLst>
      <dgm:cxnLst>
        <dgm:cxn modelId="20" srcId="0" destId="10" srcOrd="0" destOrd="0"/>
      </dgm:cxnLst>
      <dgm:bg/>
      <dgm:whole/>
    </dgm:dataModel>
  </dgm:styleData>
  <dgm:clrData>
    <dgm:dataModel>
      <dgm:ptLst>
        <dgm:pt modelId="0" type="doc"/>
        <dgm:pt modelId="10">
          <dgm:prSet phldr="1"/>
        </dgm:pt>
      </dgm:ptLst>
      <dgm:cxnLst>
        <dgm:cxn modelId="20" srcId="0" destId="10" srcOrd="0" destOrd="0"/>
      </dgm:cxnLst>
      <dgm:bg/>
      <dgm:whole/>
    </dgm:dataModel>
  </dgm:clrData>
  <dgm:layoutNode name="Name0">
    <dgm:varLst>
      <dgm:chMax/>
      <dgm:chPref/>
      <dgm:dir/>
    </dgm:varLst>
    <dgm:choose name="Name1">
      <dgm:if name="Name2" func="var" arg="dir" op="equ" val="norm">
        <dgm:alg type="snake">
          <dgm:param type="grDir" val="tL"/>
          <dgm:param type="off" val="ctr"/>
        </dgm:alg>
      </dgm:if>
      <dgm:else name="Name3">
        <dgm:alg type="snake">
          <dgm:param type="grDir" val="tR"/>
          <dgm:param type="off" val="ctr"/>
        </dgm:alg>
      </dgm:else>
    </dgm:choose>
    <dgm:shape xmlns:r="http://schemas.openxmlformats.org/officeDocument/2006/relationships" r:blip="">
      <dgm:adjLst/>
    </dgm:shape>
    <dgm:constrLst>
      <dgm:constr type="w" for="ch" forName="composite" refType="w"/>
      <dgm:constr type="h" for="ch" forName="composite" refType="h"/>
      <dgm:constr type="primFontSz" for="des" ptType="node" op="equ" val="65"/>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dgm:chPref/>
        </dgm:varLst>
        <dgm:alg type="composite">
          <dgm:param type="ar" val="1.5179"/>
        </dgm:alg>
        <dgm:shape xmlns:r="http://schemas.openxmlformats.org/officeDocument/2006/relationships" r:blip="">
          <dgm:adjLst/>
        </dgm:shape>
        <dgm:choose name="Name4">
          <dgm:if name="Name5" func="var" arg="dir" op="equ" val="norm">
            <dgm:constrLst>
              <dgm:constr type="l" for="ch" forName="Image" refType="w" fact="0"/>
              <dgm:constr type="t" for="ch" forName="Image" refType="h" fact="0"/>
              <dgm:constr type="w" for="ch" forName="Image" refType="w" fact="0.3856"/>
              <dgm:constr type="h" for="ch" forName="Image" refType="h" fact="0.3902"/>
              <dgm:constr type="l" for="ch" forName="ParentText" refType="w" fact="0.4017"/>
              <dgm:constr type="t" for="ch" forName="ParentText" refType="h" fact="0.4146"/>
              <dgm:constr type="w" for="ch" forName="ParentText" refType="w" fact="0.5463"/>
              <dgm:constr type="h" for="ch" forName="ParentText" refType="h" fact="0.5122"/>
              <dgm:constr type="l" for="ch" forName="tlFrame" refType="w" fact="0.3535"/>
              <dgm:constr type="t" for="ch" forName="tlFrame" refType="h" fact="0.3415"/>
              <dgm:constr type="w" for="ch" forName="tlFrame" refType="w" fact="0.1312"/>
              <dgm:constr type="h" for="ch" forName="tlFrame" refType="h" fact="0.1992"/>
              <dgm:constr type="l" for="ch" forName="trFrame" refType="w" fact="0.8688"/>
              <dgm:constr type="t" for="ch" forName="trFrame" refType="h" fact="0.3415"/>
              <dgm:constr type="w" for="ch" forName="trFrame" refType="w" fact="0.1312"/>
              <dgm:constr type="h" for="ch" forName="trFrame" refType="h" fact="0.1992"/>
              <dgm:constr type="l" for="ch" forName="blFrame" refType="w" fact="0.3535"/>
              <dgm:constr type="t" for="ch" forName="blFrame" refType="h" fact="0.8008"/>
              <dgm:constr type="w" for="ch" forName="blFrame" refType="w" fact="0.1312"/>
              <dgm:constr type="h" for="ch" forName="blFrame" refType="h" fact="0.1992"/>
              <dgm:constr type="l" for="ch" forName="brFrame" refType="w" fact="0.8688"/>
              <dgm:constr type="t" for="ch" forName="brFrame" refType="h" fact="0.8008"/>
              <dgm:constr type="w" for="ch" forName="brFrame" refType="w" fact="0.1312"/>
              <dgm:constr type="h" for="ch" forName="brFrame" refType="h" fact="0.1992"/>
            </dgm:constrLst>
          </dgm:if>
          <dgm:else name="Name6">
            <dgm:constrLst>
              <dgm:constr type="l" for="ch" forName="Image" refType="w" fact="0.6144"/>
              <dgm:constr type="t" for="ch" forName="Image" refType="h" fact="0"/>
              <dgm:constr type="w" for="ch" forName="Image" refType="w" fact="0.3856"/>
              <dgm:constr type="h" for="ch" forName="Image" refType="h" fact="0.3902"/>
              <dgm:constr type="l" for="ch" forName="ParentText" refType="w" fact="0.0482"/>
              <dgm:constr type="t" for="ch" forName="ParentText" refType="h" fact="0.4146"/>
              <dgm:constr type="w" for="ch" forName="ParentText" refType="w" fact="0.5463"/>
              <dgm:constr type="h" for="ch" forName="ParentText" refType="h" fact="0.5122"/>
              <dgm:constr type="l" for="ch" forName="tlFrame" refType="w" fact="0"/>
              <dgm:constr type="t" for="ch" forName="tlFrame" refType="h" fact="0.3415"/>
              <dgm:constr type="w" for="ch" forName="tlFrame" refType="w" fact="0.1312"/>
              <dgm:constr type="h" for="ch" forName="tlFrame" refType="h" fact="0.1992"/>
              <dgm:constr type="l" for="ch" forName="trFrame" refType="w" fact="0.5153"/>
              <dgm:constr type="t" for="ch" forName="trFrame" refType="h" fact="0.3415"/>
              <dgm:constr type="w" for="ch" forName="trFrame" refType="w" fact="0.1312"/>
              <dgm:constr type="h" for="ch" forName="trFrame" refType="h" fact="0.1992"/>
              <dgm:constr type="l" for="ch" forName="blFrame" refType="w" fact="0"/>
              <dgm:constr type="t" for="ch" forName="blFrame" refType="h" fact="0.8008"/>
              <dgm:constr type="w" for="ch" forName="blFrame" refType="w" fact="0.1312"/>
              <dgm:constr type="h" for="ch" forName="blFrame" refType="h" fact="0.1992"/>
              <dgm:constr type="l" for="ch" forName="brFrame" refType="w" fact="0.5153"/>
              <dgm:constr type="t" for="ch" forName="brFrame" refType="h" fact="0.8008"/>
              <dgm:constr type="w" for="ch" forName="brFrame" refType="w" fact="0.1312"/>
              <dgm:constr type="h" for="ch" forName="brFrame" refType="h" fact="0.1992"/>
            </dgm:constrLst>
          </dgm:else>
        </dgm:choose>
        <dgm:layoutNode name="Image" styleLbl="bgImgPlace1">
          <dgm:alg type="sp"/>
          <dgm:shape xmlns:r="http://schemas.openxmlformats.org/officeDocument/2006/relationships" type="rect" r:blip="" blipPhldr="1">
            <dgm:adjLst/>
          </dgm:shape>
          <dgm:presOf/>
        </dgm:layoutNode>
        <dgm:layoutNode name="ParentText" styleLbl="revTx">
          <dgm:varLst>
            <dgm:chMax val="0"/>
            <dgm:chPref val="0"/>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lFrame" styleLbl="node1">
          <dgm:alg type="sp"/>
          <dgm:shape xmlns:r="http://schemas.openxmlformats.org/officeDocument/2006/relationships" type="halfFrame" r:blip="">
            <dgm:adjLst>
              <dgm:adj idx="1" val="0.2577"/>
              <dgm:adj idx="2" val="0.2577"/>
            </dgm:adjLst>
          </dgm:shape>
          <dgm:presOf/>
        </dgm:layoutNode>
        <dgm:layoutNode name="trFrame" styleLbl="node1">
          <dgm:alg type="sp"/>
          <dgm:shape xmlns:r="http://schemas.openxmlformats.org/officeDocument/2006/relationships" rot="90" type="halfFrame" r:blip="">
            <dgm:adjLst>
              <dgm:adj idx="1" val="0.2577"/>
              <dgm:adj idx="2" val="0.2577"/>
            </dgm:adjLst>
          </dgm:shape>
          <dgm:presOf/>
        </dgm:layoutNode>
        <dgm:layoutNode name="blFrame" styleLbl="node1">
          <dgm:alg type="sp"/>
          <dgm:shape xmlns:r="http://schemas.openxmlformats.org/officeDocument/2006/relationships" rot="270" type="halfFrame" r:blip="">
            <dgm:adjLst>
              <dgm:adj idx="1" val="0.2577"/>
              <dgm:adj idx="2" val="0.2577"/>
            </dgm:adjLst>
          </dgm:shape>
          <dgm:presOf/>
        </dgm:layoutNode>
        <dgm:layoutNode name="brFrame" styleLbl="node1">
          <dgm:alg type="sp"/>
          <dgm:shape xmlns:r="http://schemas.openxmlformats.org/officeDocument/2006/relationships" rot="180" type="halfFrame" r:blip="">
            <dgm:adjLst>
              <dgm:adj idx="1" val="0.2577"/>
              <dgm:adj idx="2" val="0.2577"/>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33B6B-234D-47F2-828A-7A841B02B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8243</Words>
  <Characters>45339</Characters>
  <Application>Microsoft Office Word</Application>
  <DocSecurity>0</DocSecurity>
  <Lines>377</Lines>
  <Paragraphs>106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Windows User</Company>
  <LinksUpToDate>false</LinksUpToDate>
  <CharactersWithSpaces>53476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Ortiz</dc:creator>
  <cp:lastModifiedBy>Asist Recursos H</cp:lastModifiedBy>
  <cp:revision>2</cp:revision>
  <cp:lastPrinted>2021-08-17T19:18:00Z</cp:lastPrinted>
  <dcterms:created xsi:type="dcterms:W3CDTF">2022-10-28T19:04:00Z</dcterms:created>
  <dcterms:modified xsi:type="dcterms:W3CDTF">2022-10-28T19:04:00Z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d5758faa041026c09d1d28c047c9347e3063d72b5e7c89de0b64b09b5a147bfc</vt:lpwstr>
  </property>
</Properties>
</file>